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0F1DC" w14:textId="6CFA55A0" w:rsidR="00EB5C7C" w:rsidRPr="00846DB6" w:rsidRDefault="00846DB6" w:rsidP="00023F58">
      <w:pPr>
        <w:spacing w:after="120"/>
        <w:jc w:val="center"/>
        <w:rPr>
          <w:rFonts w:asciiTheme="minorHAnsi" w:hAnsiTheme="minorHAnsi" w:cstheme="minorHAnsi"/>
          <w:b/>
          <w:bCs/>
          <w:sz w:val="40"/>
          <w:szCs w:val="40"/>
        </w:rPr>
      </w:pPr>
      <w:r w:rsidRPr="00846DB6">
        <w:rPr>
          <w:rFonts w:asciiTheme="minorHAnsi" w:hAnsiTheme="minorHAnsi" w:cstheme="minorHAnsi"/>
          <w:b/>
          <w:bCs/>
          <w:sz w:val="44"/>
          <w:szCs w:val="44"/>
        </w:rPr>
        <w:t>Ringmajanduse konverents 2022</w:t>
      </w:r>
      <w:r w:rsidR="00023F58">
        <w:rPr>
          <w:rFonts w:asciiTheme="minorHAnsi" w:hAnsiTheme="minorHAnsi" w:cstheme="minorHAnsi"/>
          <w:b/>
          <w:bCs/>
          <w:sz w:val="44"/>
          <w:szCs w:val="44"/>
        </w:rPr>
        <w:t xml:space="preserve"> </w:t>
      </w:r>
      <w:r w:rsidR="000A4137">
        <w:rPr>
          <w:rFonts w:asciiTheme="minorHAnsi" w:hAnsiTheme="minorHAnsi" w:cstheme="minorHAnsi"/>
          <w:b/>
          <w:bCs/>
          <w:sz w:val="40"/>
          <w:szCs w:val="40"/>
        </w:rPr>
        <w:t>„</w:t>
      </w:r>
      <w:r w:rsidRPr="00846DB6">
        <w:rPr>
          <w:rFonts w:asciiTheme="minorHAnsi" w:hAnsiTheme="minorHAnsi" w:cstheme="minorHAnsi"/>
          <w:b/>
          <w:bCs/>
          <w:sz w:val="40"/>
          <w:szCs w:val="40"/>
        </w:rPr>
        <w:t>Ringiga edasi</w:t>
      </w:r>
      <w:r w:rsidR="000A4137">
        <w:rPr>
          <w:rFonts w:asciiTheme="minorHAnsi" w:hAnsiTheme="minorHAnsi" w:cstheme="minorHAnsi"/>
          <w:b/>
          <w:bCs/>
          <w:sz w:val="40"/>
          <w:szCs w:val="40"/>
        </w:rPr>
        <w:t>“</w:t>
      </w:r>
    </w:p>
    <w:p w14:paraId="18EBE912" w14:textId="2FE9D87B" w:rsidR="00EB5C7C" w:rsidRPr="00023F58" w:rsidRDefault="00F86643" w:rsidP="00023F58">
      <w:pPr>
        <w:spacing w:after="120"/>
        <w:jc w:val="center"/>
        <w:rPr>
          <w:b/>
          <w:bCs/>
          <w:sz w:val="32"/>
          <w:szCs w:val="32"/>
        </w:rPr>
      </w:pPr>
      <w:r w:rsidRPr="00023F58">
        <w:rPr>
          <w:b/>
          <w:bCs/>
          <w:sz w:val="32"/>
          <w:szCs w:val="32"/>
        </w:rPr>
        <w:t xml:space="preserve">Eesti Keskkonnajuhtimise Assotsiatsiooni poolt </w:t>
      </w:r>
      <w:r w:rsidR="00023F58" w:rsidRPr="00023F58">
        <w:rPr>
          <w:b/>
          <w:bCs/>
          <w:sz w:val="32"/>
          <w:szCs w:val="32"/>
        </w:rPr>
        <w:t>konverentsi</w:t>
      </w:r>
      <w:r w:rsidR="000A4137" w:rsidRPr="00023F58">
        <w:rPr>
          <w:b/>
          <w:bCs/>
          <w:sz w:val="32"/>
          <w:szCs w:val="32"/>
        </w:rPr>
        <w:t xml:space="preserve"> raames </w:t>
      </w:r>
      <w:r w:rsidRPr="00023F58">
        <w:rPr>
          <w:b/>
          <w:bCs/>
          <w:sz w:val="32"/>
          <w:szCs w:val="32"/>
        </w:rPr>
        <w:t>korraldatud seminari</w:t>
      </w:r>
    </w:p>
    <w:p w14:paraId="39581D57" w14:textId="53480B80" w:rsidR="00FA53E7" w:rsidRPr="006A31E3" w:rsidRDefault="00FA53E7" w:rsidP="00023F58">
      <w:pPr>
        <w:spacing w:after="120"/>
        <w:jc w:val="center"/>
        <w:rPr>
          <w:b/>
          <w:bCs/>
          <w:sz w:val="36"/>
          <w:szCs w:val="36"/>
        </w:rPr>
      </w:pPr>
      <w:r w:rsidRPr="006A31E3">
        <w:rPr>
          <w:b/>
          <w:bCs/>
          <w:sz w:val="36"/>
          <w:szCs w:val="36"/>
        </w:rPr>
        <w:t>Ringmajandusel</w:t>
      </w:r>
      <w:r w:rsidR="00047E94">
        <w:rPr>
          <w:b/>
          <w:bCs/>
          <w:sz w:val="36"/>
          <w:szCs w:val="36"/>
        </w:rPr>
        <w:t>e</w:t>
      </w:r>
      <w:r w:rsidRPr="006A31E3">
        <w:rPr>
          <w:b/>
          <w:bCs/>
          <w:sz w:val="36"/>
          <w:szCs w:val="36"/>
        </w:rPr>
        <w:t xml:space="preserve"> üleminek tööstusettevõtetes</w:t>
      </w:r>
    </w:p>
    <w:p w14:paraId="45CDD56E" w14:textId="4308BD8D" w:rsidR="00F86643" w:rsidRPr="00023F58" w:rsidRDefault="00F86643" w:rsidP="00023F58">
      <w:pPr>
        <w:spacing w:after="120"/>
        <w:jc w:val="center"/>
        <w:rPr>
          <w:b/>
          <w:bCs/>
          <w:sz w:val="32"/>
          <w:szCs w:val="32"/>
        </w:rPr>
      </w:pPr>
      <w:r w:rsidRPr="00023F58">
        <w:rPr>
          <w:b/>
          <w:bCs/>
          <w:sz w:val="32"/>
          <w:szCs w:val="32"/>
        </w:rPr>
        <w:t>kokkuvõte</w:t>
      </w:r>
    </w:p>
    <w:p w14:paraId="032A806D" w14:textId="7589DAC6" w:rsidR="00FA53E7" w:rsidRDefault="00FA53E7" w:rsidP="00BD29C9">
      <w:pPr>
        <w:spacing w:after="120"/>
        <w:jc w:val="both"/>
        <w:rPr>
          <w:sz w:val="22"/>
          <w:szCs w:val="22"/>
        </w:rPr>
      </w:pPr>
      <w:r w:rsidRPr="0073471D">
        <w:rPr>
          <w:sz w:val="22"/>
          <w:szCs w:val="22"/>
        </w:rPr>
        <w:t xml:space="preserve">Seminar </w:t>
      </w:r>
      <w:r w:rsidR="00BD29C9">
        <w:rPr>
          <w:sz w:val="22"/>
          <w:szCs w:val="22"/>
        </w:rPr>
        <w:t>tõi</w:t>
      </w:r>
      <w:r w:rsidRPr="0073471D">
        <w:rPr>
          <w:sz w:val="22"/>
          <w:szCs w:val="22"/>
        </w:rPr>
        <w:t xml:space="preserve"> arutelu vormis välja peamised takistused ja võimalused, millega oleks vaja süsteemselt riiklikul tasandil tegeleda, et riigi ja ettevõtete koostöös võimalikult kiiresti liikuda </w:t>
      </w:r>
      <w:r w:rsidR="00B635F7">
        <w:rPr>
          <w:sz w:val="22"/>
          <w:szCs w:val="22"/>
        </w:rPr>
        <w:t xml:space="preserve">uue </w:t>
      </w:r>
      <w:r w:rsidR="00BD29C9">
        <w:rPr>
          <w:sz w:val="22"/>
          <w:szCs w:val="22"/>
        </w:rPr>
        <w:t xml:space="preserve">ringse </w:t>
      </w:r>
      <w:r w:rsidR="00B635F7">
        <w:rPr>
          <w:sz w:val="22"/>
          <w:szCs w:val="22"/>
        </w:rPr>
        <w:t xml:space="preserve">tööstuse </w:t>
      </w:r>
      <w:r w:rsidRPr="0073471D">
        <w:rPr>
          <w:sz w:val="22"/>
          <w:szCs w:val="22"/>
        </w:rPr>
        <w:t xml:space="preserve">kontseptsiooni poole, mis sobituks nii Eesti kui </w:t>
      </w:r>
      <w:r w:rsidR="00DA3393">
        <w:rPr>
          <w:sz w:val="22"/>
          <w:szCs w:val="22"/>
        </w:rPr>
        <w:t xml:space="preserve">ka </w:t>
      </w:r>
      <w:r w:rsidRPr="0073471D">
        <w:rPr>
          <w:sz w:val="22"/>
          <w:szCs w:val="22"/>
        </w:rPr>
        <w:t>globaalse süsinikuneutraalse ja ringse majandusmudeliga.</w:t>
      </w:r>
    </w:p>
    <w:p w14:paraId="12F61A28" w14:textId="3D363138" w:rsidR="00B252B1" w:rsidRPr="0073471D" w:rsidRDefault="00B252B1" w:rsidP="00BD29C9">
      <w:pPr>
        <w:spacing w:after="120"/>
        <w:jc w:val="both"/>
        <w:rPr>
          <w:sz w:val="22"/>
          <w:szCs w:val="22"/>
        </w:rPr>
      </w:pPr>
      <w:r>
        <w:rPr>
          <w:sz w:val="22"/>
          <w:szCs w:val="22"/>
        </w:rPr>
        <w:t xml:space="preserve">Järgnevalt on esitatud lühikokkuvõte arutelul käsitletud teemadest </w:t>
      </w:r>
      <w:r w:rsidR="00D32E6A">
        <w:rPr>
          <w:sz w:val="22"/>
          <w:szCs w:val="22"/>
        </w:rPr>
        <w:t>ja ettepanekutest.</w:t>
      </w:r>
    </w:p>
    <w:p w14:paraId="3158D7DE" w14:textId="3C11C839" w:rsidR="00482AFF" w:rsidRPr="00F82B50" w:rsidRDefault="00B635F7" w:rsidP="00BD29C9">
      <w:pPr>
        <w:spacing w:after="120"/>
        <w:jc w:val="both"/>
        <w:rPr>
          <w:b/>
          <w:bCs/>
          <w:sz w:val="28"/>
          <w:szCs w:val="28"/>
        </w:rPr>
      </w:pPr>
      <w:r w:rsidRPr="00F82B50">
        <w:rPr>
          <w:b/>
          <w:bCs/>
          <w:sz w:val="28"/>
          <w:szCs w:val="28"/>
        </w:rPr>
        <w:t xml:space="preserve">Miks tuleks </w:t>
      </w:r>
      <w:r w:rsidR="008923B8" w:rsidRPr="00F82B50">
        <w:rPr>
          <w:b/>
          <w:bCs/>
          <w:sz w:val="28"/>
          <w:szCs w:val="28"/>
        </w:rPr>
        <w:t>ringmajanduse arendamisel eraldi tähelepanu pöörata ressursi</w:t>
      </w:r>
      <w:r w:rsidR="00420AE4" w:rsidRPr="00F82B50">
        <w:rPr>
          <w:b/>
          <w:bCs/>
          <w:sz w:val="28"/>
          <w:szCs w:val="28"/>
        </w:rPr>
        <w:t>mahukamatele tööstussektoritele?</w:t>
      </w:r>
    </w:p>
    <w:p w14:paraId="78F739EB" w14:textId="2178CDFB" w:rsidR="00A30695" w:rsidRDefault="00A30695" w:rsidP="00A30695">
      <w:pPr>
        <w:spacing w:after="120"/>
        <w:jc w:val="both"/>
        <w:rPr>
          <w:sz w:val="22"/>
          <w:szCs w:val="22"/>
        </w:rPr>
      </w:pPr>
      <w:r>
        <w:rPr>
          <w:sz w:val="22"/>
          <w:szCs w:val="22"/>
        </w:rPr>
        <w:t>Üldisemas plaanis võib ringmajanduse poole liikumise edukust väljendavad mõõdikud jagada k</w:t>
      </w:r>
      <w:r w:rsidR="00D55D36">
        <w:rPr>
          <w:sz w:val="22"/>
          <w:szCs w:val="22"/>
        </w:rPr>
        <w:t>aheks</w:t>
      </w:r>
      <w:r>
        <w:rPr>
          <w:sz w:val="22"/>
          <w:szCs w:val="22"/>
        </w:rPr>
        <w:t xml:space="preserve">: </w:t>
      </w:r>
      <w:r w:rsidR="00D55D36">
        <w:rPr>
          <w:sz w:val="22"/>
          <w:szCs w:val="22"/>
        </w:rPr>
        <w:t xml:space="preserve">ökoinnovatsiooni tase (näitab Eesti majanduse ringsust ja ettevõtete valmisolekut ringse majandusmudeli poole liikuda) ning majanduse </w:t>
      </w:r>
      <w:r>
        <w:rPr>
          <w:sz w:val="22"/>
          <w:szCs w:val="22"/>
        </w:rPr>
        <w:t>üldi</w:t>
      </w:r>
      <w:r w:rsidR="00702853">
        <w:rPr>
          <w:sz w:val="22"/>
          <w:szCs w:val="22"/>
        </w:rPr>
        <w:t>st</w:t>
      </w:r>
      <w:r>
        <w:rPr>
          <w:sz w:val="22"/>
          <w:szCs w:val="22"/>
        </w:rPr>
        <w:t xml:space="preserve"> ressursitõhusus</w:t>
      </w:r>
      <w:r w:rsidR="00702853">
        <w:rPr>
          <w:sz w:val="22"/>
          <w:szCs w:val="22"/>
        </w:rPr>
        <w:t>t</w:t>
      </w:r>
      <w:r>
        <w:rPr>
          <w:sz w:val="22"/>
          <w:szCs w:val="22"/>
        </w:rPr>
        <w:t xml:space="preserve"> </w:t>
      </w:r>
      <w:r w:rsidR="00D55D36">
        <w:rPr>
          <w:sz w:val="22"/>
          <w:szCs w:val="22"/>
        </w:rPr>
        <w:t>ja</w:t>
      </w:r>
      <w:r>
        <w:rPr>
          <w:sz w:val="22"/>
          <w:szCs w:val="22"/>
        </w:rPr>
        <w:t xml:space="preserve"> jäätmete ringlussevõt</w:t>
      </w:r>
      <w:r w:rsidR="00DD11D8">
        <w:rPr>
          <w:sz w:val="22"/>
          <w:szCs w:val="22"/>
        </w:rPr>
        <w:t xml:space="preserve">u määra </w:t>
      </w:r>
      <w:r>
        <w:rPr>
          <w:sz w:val="22"/>
          <w:szCs w:val="22"/>
        </w:rPr>
        <w:t>iseloomustavad näitajad (</w:t>
      </w:r>
      <w:r w:rsidR="007B4178">
        <w:rPr>
          <w:sz w:val="22"/>
          <w:szCs w:val="22"/>
        </w:rPr>
        <w:t>iseloomustavad riigi ressursitootlikust ja materjalide kasutamise ringsust).</w:t>
      </w:r>
      <w:r>
        <w:rPr>
          <w:sz w:val="22"/>
          <w:szCs w:val="22"/>
        </w:rPr>
        <w:t xml:space="preserve"> </w:t>
      </w:r>
    </w:p>
    <w:p w14:paraId="3D751998" w14:textId="7C742582" w:rsidR="00A30695" w:rsidRDefault="00A30695" w:rsidP="00A30695">
      <w:pPr>
        <w:spacing w:after="120"/>
        <w:jc w:val="both"/>
        <w:rPr>
          <w:sz w:val="22"/>
          <w:szCs w:val="22"/>
        </w:rPr>
      </w:pPr>
      <w:r w:rsidRPr="00D24536">
        <w:rPr>
          <w:sz w:val="22"/>
          <w:szCs w:val="22"/>
        </w:rPr>
        <w:t>Innovaatiliste lahenduste (sh digi</w:t>
      </w:r>
      <w:r>
        <w:rPr>
          <w:sz w:val="22"/>
          <w:szCs w:val="22"/>
        </w:rPr>
        <w:t>lahenduste</w:t>
      </w:r>
      <w:r w:rsidRPr="00D24536">
        <w:rPr>
          <w:sz w:val="22"/>
          <w:szCs w:val="22"/>
        </w:rPr>
        <w:t xml:space="preserve">) kasutamine </w:t>
      </w:r>
      <w:r w:rsidR="00CC139D">
        <w:rPr>
          <w:sz w:val="22"/>
          <w:szCs w:val="22"/>
        </w:rPr>
        <w:t xml:space="preserve">Eesti ettevõtetes </w:t>
      </w:r>
      <w:r w:rsidRPr="00D24536">
        <w:rPr>
          <w:sz w:val="22"/>
          <w:szCs w:val="22"/>
        </w:rPr>
        <w:t>on tagasihoidlik. Eesti ökoinnovatsiooni koondnäitaja 73 (2019</w:t>
      </w:r>
      <w:r w:rsidR="00566511">
        <w:rPr>
          <w:sz w:val="22"/>
          <w:szCs w:val="22"/>
        </w:rPr>
        <w:t>. aastal</w:t>
      </w:r>
      <w:r w:rsidRPr="00D24536">
        <w:rPr>
          <w:sz w:val="22"/>
          <w:szCs w:val="22"/>
        </w:rPr>
        <w:t xml:space="preserve">) on </w:t>
      </w:r>
      <w:r w:rsidR="00927A31" w:rsidRPr="00342B2A">
        <w:rPr>
          <w:sz w:val="22"/>
          <w:szCs w:val="22"/>
        </w:rPr>
        <w:t>E</w:t>
      </w:r>
      <w:r w:rsidR="00927A31">
        <w:rPr>
          <w:sz w:val="22"/>
          <w:szCs w:val="22"/>
        </w:rPr>
        <w:t>uroopa Liidu (</w:t>
      </w:r>
      <w:r w:rsidRPr="00D24536">
        <w:rPr>
          <w:sz w:val="22"/>
          <w:szCs w:val="22"/>
        </w:rPr>
        <w:t>EL</w:t>
      </w:r>
      <w:r w:rsidR="00927A31">
        <w:rPr>
          <w:sz w:val="22"/>
          <w:szCs w:val="22"/>
        </w:rPr>
        <w:t>)</w:t>
      </w:r>
      <w:r w:rsidRPr="00D24536">
        <w:rPr>
          <w:sz w:val="22"/>
          <w:szCs w:val="22"/>
        </w:rPr>
        <w:t xml:space="preserve"> keskmisest </w:t>
      </w:r>
      <w:r w:rsidR="00FB0FBF">
        <w:rPr>
          <w:sz w:val="22"/>
          <w:szCs w:val="22"/>
        </w:rPr>
        <w:t>ligi</w:t>
      </w:r>
      <w:r w:rsidRPr="00D24536">
        <w:rPr>
          <w:sz w:val="22"/>
          <w:szCs w:val="22"/>
        </w:rPr>
        <w:t xml:space="preserve"> 30% madalam, mis tähendab</w:t>
      </w:r>
      <w:r>
        <w:rPr>
          <w:sz w:val="22"/>
          <w:szCs w:val="22"/>
        </w:rPr>
        <w:t xml:space="preserve"> seda</w:t>
      </w:r>
      <w:r w:rsidRPr="00D24536">
        <w:rPr>
          <w:sz w:val="22"/>
          <w:szCs w:val="22"/>
        </w:rPr>
        <w:t>, et võime jääda maha rohepöörde konkurentsivõime suurendamise potentsiaali kasutuselevõtus.</w:t>
      </w:r>
    </w:p>
    <w:p w14:paraId="5063C199" w14:textId="72B24259" w:rsidR="00A30695" w:rsidRDefault="00A30695" w:rsidP="00A30695">
      <w:pPr>
        <w:spacing w:after="120"/>
        <w:jc w:val="both"/>
        <w:rPr>
          <w:sz w:val="22"/>
          <w:szCs w:val="22"/>
        </w:rPr>
      </w:pPr>
      <w:r w:rsidRPr="00342B2A">
        <w:rPr>
          <w:sz w:val="22"/>
          <w:szCs w:val="22"/>
        </w:rPr>
        <w:t xml:space="preserve">Peale väikese energiatootlikkuse on </w:t>
      </w:r>
      <w:r w:rsidR="001E7505">
        <w:rPr>
          <w:sz w:val="22"/>
          <w:szCs w:val="22"/>
        </w:rPr>
        <w:t>EL</w:t>
      </w:r>
      <w:r w:rsidR="00927A31">
        <w:rPr>
          <w:sz w:val="22"/>
          <w:szCs w:val="22"/>
        </w:rPr>
        <w:t>-i</w:t>
      </w:r>
      <w:r w:rsidR="001E7505">
        <w:rPr>
          <w:sz w:val="22"/>
          <w:szCs w:val="22"/>
        </w:rPr>
        <w:t xml:space="preserve"> </w:t>
      </w:r>
      <w:r w:rsidRPr="00342B2A">
        <w:rPr>
          <w:sz w:val="22"/>
          <w:szCs w:val="22"/>
        </w:rPr>
        <w:t xml:space="preserve">kontekstis väike ka </w:t>
      </w:r>
      <w:r w:rsidR="00297152">
        <w:rPr>
          <w:sz w:val="22"/>
          <w:szCs w:val="22"/>
        </w:rPr>
        <w:t xml:space="preserve">Eesti </w:t>
      </w:r>
      <w:r w:rsidRPr="00342B2A">
        <w:rPr>
          <w:sz w:val="22"/>
          <w:szCs w:val="22"/>
        </w:rPr>
        <w:t xml:space="preserve">ressursitootlikkus. Eesti on Bulgaaria ja Rumeenia ees tagant kolmas riik Euroopas ressursside tootlikkuse näitaja poolest. Kui </w:t>
      </w:r>
      <w:r w:rsidR="001E7505">
        <w:rPr>
          <w:sz w:val="22"/>
          <w:szCs w:val="22"/>
        </w:rPr>
        <w:t>EL</w:t>
      </w:r>
      <w:r w:rsidR="00FE3B9B">
        <w:rPr>
          <w:sz w:val="22"/>
          <w:szCs w:val="22"/>
        </w:rPr>
        <w:t>-i liikmes</w:t>
      </w:r>
      <w:r w:rsidRPr="00342B2A">
        <w:rPr>
          <w:sz w:val="22"/>
          <w:szCs w:val="22"/>
        </w:rPr>
        <w:t xml:space="preserve">riikides </w:t>
      </w:r>
      <w:r w:rsidR="00E975D9" w:rsidRPr="00342B2A">
        <w:rPr>
          <w:sz w:val="22"/>
          <w:szCs w:val="22"/>
        </w:rPr>
        <w:t xml:space="preserve">toodetakse </w:t>
      </w:r>
      <w:r w:rsidRPr="00342B2A">
        <w:rPr>
          <w:sz w:val="22"/>
          <w:szCs w:val="22"/>
        </w:rPr>
        <w:t>keskmiselt ühe kilogrammi loodusressurssidega 2,2 euro mahus toodangut, arvestades riikide ostujõudu, siis Eestis on sama näitaja alla 1</w:t>
      </w:r>
      <w:r>
        <w:rPr>
          <w:sz w:val="22"/>
          <w:szCs w:val="22"/>
        </w:rPr>
        <w:t xml:space="preserve"> (</w:t>
      </w:r>
      <w:r w:rsidRPr="00D24536">
        <w:rPr>
          <w:sz w:val="22"/>
          <w:szCs w:val="22"/>
        </w:rPr>
        <w:t>0,</w:t>
      </w:r>
      <w:r w:rsidR="004721FA">
        <w:rPr>
          <w:sz w:val="22"/>
          <w:szCs w:val="22"/>
        </w:rPr>
        <w:t>9</w:t>
      </w:r>
      <w:r w:rsidRPr="00D24536">
        <w:rPr>
          <w:sz w:val="22"/>
          <w:szCs w:val="22"/>
        </w:rPr>
        <w:t xml:space="preserve"> eurot kg kohta 20</w:t>
      </w:r>
      <w:r w:rsidR="00D425BC">
        <w:rPr>
          <w:sz w:val="22"/>
          <w:szCs w:val="22"/>
        </w:rPr>
        <w:t>20</w:t>
      </w:r>
      <w:r w:rsidRPr="00D24536">
        <w:rPr>
          <w:sz w:val="22"/>
          <w:szCs w:val="22"/>
        </w:rPr>
        <w:t>. aastal</w:t>
      </w:r>
      <w:r>
        <w:rPr>
          <w:sz w:val="22"/>
          <w:szCs w:val="22"/>
        </w:rPr>
        <w:t>)</w:t>
      </w:r>
      <w:r w:rsidRPr="00342B2A">
        <w:rPr>
          <w:sz w:val="22"/>
          <w:szCs w:val="22"/>
        </w:rPr>
        <w:t>. Kõrgeim on sama näitaja Hollandis (4,</w:t>
      </w:r>
      <w:r w:rsidR="00C5432F">
        <w:rPr>
          <w:sz w:val="22"/>
          <w:szCs w:val="22"/>
        </w:rPr>
        <w:t>7</w:t>
      </w:r>
      <w:r w:rsidRPr="00342B2A">
        <w:rPr>
          <w:sz w:val="22"/>
          <w:szCs w:val="22"/>
        </w:rPr>
        <w:t xml:space="preserve">), </w:t>
      </w:r>
      <w:r w:rsidR="00C5432F" w:rsidRPr="00342B2A">
        <w:rPr>
          <w:sz w:val="22"/>
          <w:szCs w:val="22"/>
        </w:rPr>
        <w:t>Luksemburgis (3,</w:t>
      </w:r>
      <w:r w:rsidR="00C5432F">
        <w:rPr>
          <w:sz w:val="22"/>
          <w:szCs w:val="22"/>
        </w:rPr>
        <w:t>9</w:t>
      </w:r>
      <w:r w:rsidR="00C5432F" w:rsidRPr="00342B2A">
        <w:rPr>
          <w:sz w:val="22"/>
          <w:szCs w:val="22"/>
        </w:rPr>
        <w:t xml:space="preserve">) </w:t>
      </w:r>
      <w:r w:rsidR="00C5432F">
        <w:rPr>
          <w:sz w:val="22"/>
          <w:szCs w:val="22"/>
        </w:rPr>
        <w:t xml:space="preserve">ja </w:t>
      </w:r>
      <w:r w:rsidRPr="00342B2A">
        <w:rPr>
          <w:sz w:val="22"/>
          <w:szCs w:val="22"/>
        </w:rPr>
        <w:t>Itaalias (3,7) (20</w:t>
      </w:r>
      <w:r w:rsidR="00C5432F">
        <w:rPr>
          <w:sz w:val="22"/>
          <w:szCs w:val="22"/>
        </w:rPr>
        <w:t>20</w:t>
      </w:r>
      <w:r w:rsidRPr="00342B2A">
        <w:rPr>
          <w:sz w:val="22"/>
          <w:szCs w:val="22"/>
        </w:rPr>
        <w:t>. a</w:t>
      </w:r>
      <w:r w:rsidR="00C5432F">
        <w:rPr>
          <w:sz w:val="22"/>
          <w:szCs w:val="22"/>
        </w:rPr>
        <w:t>asta</w:t>
      </w:r>
      <w:r w:rsidRPr="00342B2A">
        <w:rPr>
          <w:sz w:val="22"/>
          <w:szCs w:val="22"/>
        </w:rPr>
        <w:t xml:space="preserve"> andmed). Ressursitootlikkuse näitaja seob riigi majanduse suuruse ning selle majanduse poolt tarbitud loodusressursside mahu. Ressursitootlikkus kasvab, kui riigi majandus suureneb kiiremas tempos kui tooraine kasutamine, mida mõõdetakse sisemaise materjalitarbimise (DMC) näitajaga. </w:t>
      </w:r>
    </w:p>
    <w:p w14:paraId="1E06DB35" w14:textId="594F420D" w:rsidR="00A30695" w:rsidRDefault="00A30695" w:rsidP="00A30695">
      <w:pPr>
        <w:spacing w:after="120"/>
        <w:jc w:val="both"/>
        <w:rPr>
          <w:sz w:val="22"/>
          <w:szCs w:val="22"/>
        </w:rPr>
      </w:pPr>
      <w:r w:rsidRPr="00342B2A">
        <w:rPr>
          <w:sz w:val="22"/>
          <w:szCs w:val="22"/>
        </w:rPr>
        <w:t>Eesti ressursitootlik</w:t>
      </w:r>
      <w:r w:rsidR="00A6652F">
        <w:rPr>
          <w:sz w:val="22"/>
          <w:szCs w:val="22"/>
        </w:rPr>
        <w:t>k</w:t>
      </w:r>
      <w:r w:rsidRPr="00342B2A">
        <w:rPr>
          <w:sz w:val="22"/>
          <w:szCs w:val="22"/>
        </w:rPr>
        <w:t>us on viimastel aastatel püsinud suhteliselt stabiilne</w:t>
      </w:r>
      <w:r>
        <w:rPr>
          <w:sz w:val="22"/>
          <w:szCs w:val="22"/>
        </w:rPr>
        <w:t xml:space="preserve"> (mõnevõrra suurenenud seoses põlevkivitöötlemise vähenemisega).</w:t>
      </w:r>
      <w:r w:rsidRPr="00342B2A">
        <w:rPr>
          <w:sz w:val="22"/>
          <w:szCs w:val="22"/>
        </w:rPr>
        <w:t xml:space="preserve"> Madal ressursitootlik</w:t>
      </w:r>
      <w:r w:rsidR="00782EA6">
        <w:rPr>
          <w:sz w:val="22"/>
          <w:szCs w:val="22"/>
        </w:rPr>
        <w:t>k</w:t>
      </w:r>
      <w:r w:rsidRPr="00342B2A">
        <w:rPr>
          <w:sz w:val="22"/>
          <w:szCs w:val="22"/>
        </w:rPr>
        <w:t xml:space="preserve">us tuleneb </w:t>
      </w:r>
      <w:r w:rsidR="00D47B88">
        <w:rPr>
          <w:sz w:val="22"/>
          <w:szCs w:val="22"/>
        </w:rPr>
        <w:t xml:space="preserve">eelkõige </w:t>
      </w:r>
      <w:r w:rsidRPr="00342B2A">
        <w:rPr>
          <w:sz w:val="22"/>
          <w:szCs w:val="22"/>
        </w:rPr>
        <w:t>Eesti majanduse struktuurist, kus prevaleerivad ressursimahukad tootmistegevused (mineraalsete materjalide ja ehitusmaterjalide toomine, puidutööstus ja eelkõige põlevkivitööstus)</w:t>
      </w:r>
      <w:r w:rsidR="009A32E4">
        <w:rPr>
          <w:sz w:val="22"/>
          <w:szCs w:val="22"/>
        </w:rPr>
        <w:t>,</w:t>
      </w:r>
      <w:r w:rsidRPr="00342B2A">
        <w:rPr>
          <w:sz w:val="22"/>
          <w:szCs w:val="22"/>
        </w:rPr>
        <w:t xml:space="preserve"> mille mahud on suured võrreldes Eesti elanike arvuga. Siin on Eesti sarnane Soome</w:t>
      </w:r>
      <w:r>
        <w:rPr>
          <w:sz w:val="22"/>
          <w:szCs w:val="22"/>
        </w:rPr>
        <w:t xml:space="preserve"> ja ka teiste Põhjamaadega</w:t>
      </w:r>
      <w:r w:rsidRPr="00342B2A">
        <w:rPr>
          <w:sz w:val="22"/>
          <w:szCs w:val="22"/>
        </w:rPr>
        <w:t>, kelle ressursitootli</w:t>
      </w:r>
      <w:r w:rsidR="009D0F74">
        <w:rPr>
          <w:sz w:val="22"/>
          <w:szCs w:val="22"/>
        </w:rPr>
        <w:t>k</w:t>
      </w:r>
      <w:r w:rsidRPr="00342B2A">
        <w:rPr>
          <w:sz w:val="22"/>
          <w:szCs w:val="22"/>
        </w:rPr>
        <w:t xml:space="preserve">kus hoolimata </w:t>
      </w:r>
      <w:r w:rsidR="00EF14F0">
        <w:rPr>
          <w:sz w:val="22"/>
          <w:szCs w:val="22"/>
        </w:rPr>
        <w:t xml:space="preserve">ettevõtete </w:t>
      </w:r>
      <w:r w:rsidRPr="00342B2A">
        <w:rPr>
          <w:sz w:val="22"/>
          <w:szCs w:val="22"/>
        </w:rPr>
        <w:t>kõrgest tootlikkusest ja efektiivs</w:t>
      </w:r>
      <w:r w:rsidR="00DF0916">
        <w:rPr>
          <w:sz w:val="22"/>
          <w:szCs w:val="22"/>
        </w:rPr>
        <w:t>use</w:t>
      </w:r>
      <w:r w:rsidRPr="00342B2A">
        <w:rPr>
          <w:sz w:val="22"/>
          <w:szCs w:val="22"/>
        </w:rPr>
        <w:t xml:space="preserve">st </w:t>
      </w:r>
      <w:r w:rsidR="00EF14F0">
        <w:rPr>
          <w:sz w:val="22"/>
          <w:szCs w:val="22"/>
        </w:rPr>
        <w:t xml:space="preserve">on </w:t>
      </w:r>
      <w:r w:rsidRPr="00342B2A">
        <w:rPr>
          <w:sz w:val="22"/>
          <w:szCs w:val="22"/>
        </w:rPr>
        <w:t xml:space="preserve">samuti suhteliselt madal. Ehitusmineraalid ja põlevkivi hõlmavad ligi 80% kogu Eesti kodumaisest toormekasutusest. Samuti on Eesti Läti ja Rootsi kõrval üks vähestest EL-i </w:t>
      </w:r>
      <w:r w:rsidR="000479F3">
        <w:rPr>
          <w:sz w:val="22"/>
          <w:szCs w:val="22"/>
        </w:rPr>
        <w:t>liikmes</w:t>
      </w:r>
      <w:r w:rsidRPr="00342B2A">
        <w:rPr>
          <w:sz w:val="22"/>
          <w:szCs w:val="22"/>
        </w:rPr>
        <w:t>riikidest, kus materjalide eksport ületab nende impordi. Üle poole eksporditava materjali kogusest moodustab puit. Kuigi töödeldud puidutoodete osakaal on suurenenud, siis jätkuvalt on suur osa toorpuidul.</w:t>
      </w:r>
    </w:p>
    <w:p w14:paraId="34C2AD4A" w14:textId="0EBB56C4" w:rsidR="00E9762E" w:rsidRDefault="006C5729" w:rsidP="006C5729">
      <w:pPr>
        <w:spacing w:after="120"/>
        <w:jc w:val="both"/>
        <w:rPr>
          <w:sz w:val="22"/>
          <w:szCs w:val="22"/>
        </w:rPr>
      </w:pPr>
      <w:r w:rsidRPr="00342B2A">
        <w:rPr>
          <w:sz w:val="22"/>
          <w:szCs w:val="22"/>
        </w:rPr>
        <w:t xml:space="preserve">Eesti on jäätmete </w:t>
      </w:r>
      <w:r>
        <w:rPr>
          <w:sz w:val="22"/>
          <w:szCs w:val="22"/>
        </w:rPr>
        <w:t>üldtekke (sh jäätmeteke elaniku kohta) osas samuti EL-</w:t>
      </w:r>
      <w:r w:rsidR="00D5561C">
        <w:rPr>
          <w:sz w:val="22"/>
          <w:szCs w:val="22"/>
        </w:rPr>
        <w:t>i</w:t>
      </w:r>
      <w:r>
        <w:rPr>
          <w:sz w:val="22"/>
          <w:szCs w:val="22"/>
        </w:rPr>
        <w:t xml:space="preserve">s esirinnas. Kui EL-is on </w:t>
      </w:r>
      <w:r w:rsidR="00F40544">
        <w:rPr>
          <w:sz w:val="22"/>
          <w:szCs w:val="22"/>
        </w:rPr>
        <w:t xml:space="preserve">üldine </w:t>
      </w:r>
      <w:r>
        <w:rPr>
          <w:sz w:val="22"/>
          <w:szCs w:val="22"/>
        </w:rPr>
        <w:t>jäätmete</w:t>
      </w:r>
      <w:r w:rsidR="00F40544">
        <w:rPr>
          <w:sz w:val="22"/>
          <w:szCs w:val="22"/>
        </w:rPr>
        <w:t>ke</w:t>
      </w:r>
      <w:r>
        <w:rPr>
          <w:sz w:val="22"/>
          <w:szCs w:val="22"/>
        </w:rPr>
        <w:t xml:space="preserve"> elaniku kohta 5,2 tonni</w:t>
      </w:r>
      <w:r w:rsidR="009A0E92">
        <w:rPr>
          <w:sz w:val="22"/>
          <w:szCs w:val="22"/>
        </w:rPr>
        <w:t xml:space="preserve"> aastas</w:t>
      </w:r>
      <w:r>
        <w:rPr>
          <w:sz w:val="22"/>
          <w:szCs w:val="22"/>
        </w:rPr>
        <w:t xml:space="preserve">, siis Eestis on sama näitaja üle kolme korra suurem 17,5 tonni. </w:t>
      </w:r>
      <w:r w:rsidRPr="00167EB2">
        <w:rPr>
          <w:sz w:val="22"/>
          <w:szCs w:val="22"/>
        </w:rPr>
        <w:t>Meist rohkem tek</w:t>
      </w:r>
      <w:r>
        <w:rPr>
          <w:sz w:val="22"/>
          <w:szCs w:val="22"/>
        </w:rPr>
        <w:t>ib</w:t>
      </w:r>
      <w:r w:rsidRPr="00167EB2">
        <w:rPr>
          <w:sz w:val="22"/>
          <w:szCs w:val="22"/>
        </w:rPr>
        <w:t xml:space="preserve"> elaniku kohta jäätmeid vaid Soomes (23,3 tonni) ja Bulgaarias (18,5 tonni).</w:t>
      </w:r>
      <w:r>
        <w:rPr>
          <w:sz w:val="22"/>
          <w:szCs w:val="22"/>
        </w:rPr>
        <w:t xml:space="preserve"> Suurem osa jäätmetest tekib põlevkivitööstuses (</w:t>
      </w:r>
      <w:r w:rsidRPr="009C61BF">
        <w:rPr>
          <w:sz w:val="22"/>
          <w:szCs w:val="22"/>
        </w:rPr>
        <w:t>põlevkivi kaevandamisest ja kasutamisest</w:t>
      </w:r>
      <w:r>
        <w:rPr>
          <w:sz w:val="22"/>
          <w:szCs w:val="22"/>
        </w:rPr>
        <w:t xml:space="preserve">) </w:t>
      </w:r>
      <w:r w:rsidR="004A2CDC">
        <w:rPr>
          <w:sz w:val="22"/>
          <w:szCs w:val="22"/>
        </w:rPr>
        <w:t>ja te</w:t>
      </w:r>
      <w:r w:rsidR="00CC282C">
        <w:rPr>
          <w:sz w:val="22"/>
          <w:szCs w:val="22"/>
        </w:rPr>
        <w:t>i</w:t>
      </w:r>
      <w:r w:rsidR="004A2CDC">
        <w:rPr>
          <w:sz w:val="22"/>
          <w:szCs w:val="22"/>
        </w:rPr>
        <w:t xml:space="preserve">stes </w:t>
      </w:r>
      <w:r w:rsidR="004A2CDC">
        <w:rPr>
          <w:sz w:val="22"/>
          <w:szCs w:val="22"/>
        </w:rPr>
        <w:lastRenderedPageBreak/>
        <w:t xml:space="preserve">ressursimahukates tööstussektorites. </w:t>
      </w:r>
      <w:r w:rsidR="00352930">
        <w:rPr>
          <w:sz w:val="22"/>
          <w:szCs w:val="22"/>
        </w:rPr>
        <w:t xml:space="preserve">Olmejäätmete </w:t>
      </w:r>
      <w:r w:rsidR="00242093">
        <w:rPr>
          <w:sz w:val="22"/>
          <w:szCs w:val="22"/>
        </w:rPr>
        <w:t xml:space="preserve">osakaal üldises jäätmetekkes on ainult </w:t>
      </w:r>
      <w:r w:rsidR="004420C7">
        <w:rPr>
          <w:sz w:val="22"/>
          <w:szCs w:val="22"/>
        </w:rPr>
        <w:t>ligi</w:t>
      </w:r>
      <w:r w:rsidR="00F61BAC">
        <w:rPr>
          <w:sz w:val="22"/>
          <w:szCs w:val="22"/>
        </w:rPr>
        <w:t xml:space="preserve"> 3</w:t>
      </w:r>
      <w:r w:rsidR="00242093">
        <w:rPr>
          <w:sz w:val="22"/>
          <w:szCs w:val="22"/>
        </w:rPr>
        <w:t>% ja pakendij</w:t>
      </w:r>
      <w:r w:rsidR="00C26423">
        <w:rPr>
          <w:sz w:val="22"/>
          <w:szCs w:val="22"/>
        </w:rPr>
        <w:t xml:space="preserve">äätmete osakaal on </w:t>
      </w:r>
      <w:r w:rsidR="00026958">
        <w:rPr>
          <w:sz w:val="22"/>
          <w:szCs w:val="22"/>
        </w:rPr>
        <w:t>ligi</w:t>
      </w:r>
      <w:r w:rsidR="00C26423">
        <w:rPr>
          <w:sz w:val="22"/>
          <w:szCs w:val="22"/>
        </w:rPr>
        <w:t xml:space="preserve"> 1% kogu jäätmetekkest. </w:t>
      </w:r>
      <w:r w:rsidR="004A2CDC">
        <w:rPr>
          <w:sz w:val="22"/>
          <w:szCs w:val="22"/>
        </w:rPr>
        <w:t xml:space="preserve">Samas on </w:t>
      </w:r>
      <w:r w:rsidR="00CC282C">
        <w:rPr>
          <w:sz w:val="22"/>
          <w:szCs w:val="22"/>
        </w:rPr>
        <w:t xml:space="preserve">Eestis </w:t>
      </w:r>
      <w:r w:rsidR="004A2CDC">
        <w:rPr>
          <w:sz w:val="22"/>
          <w:szCs w:val="22"/>
        </w:rPr>
        <w:t>ringmajanduse disku</w:t>
      </w:r>
      <w:r w:rsidR="00BF1A53">
        <w:rPr>
          <w:sz w:val="22"/>
          <w:szCs w:val="22"/>
        </w:rPr>
        <w:t>s</w:t>
      </w:r>
      <w:r w:rsidR="004A2CDC">
        <w:rPr>
          <w:sz w:val="22"/>
          <w:szCs w:val="22"/>
        </w:rPr>
        <w:t>sioonis kõige enam tähelepanu saanud just olmejäätmete ja pakendijäätmete ringlu</w:t>
      </w:r>
      <w:r w:rsidR="006A1BBB">
        <w:rPr>
          <w:sz w:val="22"/>
          <w:szCs w:val="22"/>
        </w:rPr>
        <w:t>s</w:t>
      </w:r>
      <w:r w:rsidR="004A2CDC">
        <w:rPr>
          <w:sz w:val="22"/>
          <w:szCs w:val="22"/>
        </w:rPr>
        <w:t>sevõtu probleemid.</w:t>
      </w:r>
    </w:p>
    <w:p w14:paraId="103AF452" w14:textId="68DB839D" w:rsidR="00482AFF" w:rsidRPr="0073471D" w:rsidRDefault="005813D9" w:rsidP="00BD29C9">
      <w:pPr>
        <w:spacing w:after="120"/>
        <w:jc w:val="both"/>
        <w:rPr>
          <w:sz w:val="22"/>
          <w:szCs w:val="22"/>
        </w:rPr>
      </w:pPr>
      <w:r w:rsidRPr="005813D9">
        <w:rPr>
          <w:sz w:val="22"/>
          <w:szCs w:val="22"/>
        </w:rPr>
        <w:t xml:space="preserve">Eesti ressursitootlikkuse ehk riigi ringmajanduse üldnäitaja paremaks muutmise võti seisneb seega just Eesti majanduse jaoks oluliste ressursimahukate tootmistegevuste efektiivsemaks </w:t>
      </w:r>
      <w:r w:rsidR="00F64886">
        <w:rPr>
          <w:sz w:val="22"/>
          <w:szCs w:val="22"/>
        </w:rPr>
        <w:t xml:space="preserve">muutmiseks </w:t>
      </w:r>
      <w:r w:rsidRPr="005813D9">
        <w:rPr>
          <w:sz w:val="22"/>
          <w:szCs w:val="22"/>
        </w:rPr>
        <w:t xml:space="preserve">(sh </w:t>
      </w:r>
      <w:r w:rsidR="007C12E0" w:rsidRPr="005813D9">
        <w:rPr>
          <w:sz w:val="22"/>
          <w:szCs w:val="22"/>
        </w:rPr>
        <w:t>materjali</w:t>
      </w:r>
      <w:r w:rsidR="004C7130">
        <w:rPr>
          <w:sz w:val="22"/>
          <w:szCs w:val="22"/>
        </w:rPr>
        <w:t>de</w:t>
      </w:r>
      <w:r w:rsidRPr="005813D9">
        <w:rPr>
          <w:sz w:val="22"/>
          <w:szCs w:val="22"/>
        </w:rPr>
        <w:t xml:space="preserve"> </w:t>
      </w:r>
      <w:r w:rsidR="007C12E0" w:rsidRPr="005813D9">
        <w:rPr>
          <w:sz w:val="22"/>
          <w:szCs w:val="22"/>
        </w:rPr>
        <w:t>väärindamiseks)</w:t>
      </w:r>
      <w:r w:rsidRPr="005813D9">
        <w:rPr>
          <w:sz w:val="22"/>
          <w:szCs w:val="22"/>
        </w:rPr>
        <w:t xml:space="preserve">. Samas tuleb tõdeda, et ressursimahukates sektorites tegutsevates ettevõtetes kasutatavad tehnoloogilised lahendused </w:t>
      </w:r>
      <w:r w:rsidR="00410DB4">
        <w:rPr>
          <w:sz w:val="22"/>
          <w:szCs w:val="22"/>
        </w:rPr>
        <w:t xml:space="preserve">on </w:t>
      </w:r>
      <w:r w:rsidRPr="005813D9">
        <w:rPr>
          <w:sz w:val="22"/>
          <w:szCs w:val="22"/>
        </w:rPr>
        <w:t xml:space="preserve">juba küllalti suure tootlikkusega. Näiteks on Eesti mehhaaniline puidutöötlemine väga kõrge efektiivsusega. Probleemiks on see, et Eestis puuduvad </w:t>
      </w:r>
      <w:r w:rsidR="00423F65">
        <w:rPr>
          <w:sz w:val="22"/>
          <w:szCs w:val="22"/>
        </w:rPr>
        <w:t xml:space="preserve">materjalide </w:t>
      </w:r>
      <w:r w:rsidRPr="005813D9">
        <w:rPr>
          <w:sz w:val="22"/>
          <w:szCs w:val="22"/>
        </w:rPr>
        <w:t>kõrgema taseme väär</w:t>
      </w:r>
      <w:r w:rsidR="00423F65">
        <w:rPr>
          <w:sz w:val="22"/>
          <w:szCs w:val="22"/>
        </w:rPr>
        <w:t>indamise</w:t>
      </w:r>
      <w:r w:rsidRPr="005813D9">
        <w:rPr>
          <w:sz w:val="22"/>
          <w:szCs w:val="22"/>
        </w:rPr>
        <w:t xml:space="preserve"> ja ülejääkide käitlemisele keskendunud ringsed lahendused </w:t>
      </w:r>
      <w:r w:rsidR="003A4008">
        <w:rPr>
          <w:sz w:val="22"/>
          <w:szCs w:val="22"/>
        </w:rPr>
        <w:t xml:space="preserve">ja </w:t>
      </w:r>
      <w:r w:rsidR="00BF2A80">
        <w:rPr>
          <w:sz w:val="22"/>
          <w:szCs w:val="22"/>
        </w:rPr>
        <w:t>nõudlus</w:t>
      </w:r>
      <w:r w:rsidR="003A4008">
        <w:rPr>
          <w:sz w:val="22"/>
          <w:szCs w:val="22"/>
        </w:rPr>
        <w:t xml:space="preserve"> </w:t>
      </w:r>
      <w:r w:rsidRPr="005813D9">
        <w:rPr>
          <w:sz w:val="22"/>
          <w:szCs w:val="22"/>
        </w:rPr>
        <w:t xml:space="preserve">(nt puidukeemia, mineraalsete jääkide ringlussevõtt). Ilma selliste uute lahenduste rakendamiseta pole võimalik nendes sektorites suuremat ressursitõhususe hüpet teha (v.a sellise tööstuse sulgemine, mis pigem siiski viib selleni, et Eestist saab odava toorme riik </w:t>
      </w:r>
      <w:r w:rsidR="00EE41C1">
        <w:rPr>
          <w:sz w:val="22"/>
          <w:szCs w:val="22"/>
        </w:rPr>
        <w:t xml:space="preserve">rikkamatele ja </w:t>
      </w:r>
      <w:r w:rsidRPr="005813D9">
        <w:rPr>
          <w:sz w:val="22"/>
          <w:szCs w:val="22"/>
        </w:rPr>
        <w:t xml:space="preserve">arenenud riikidele). </w:t>
      </w:r>
      <w:r w:rsidR="00DD43AC">
        <w:rPr>
          <w:sz w:val="22"/>
          <w:szCs w:val="22"/>
        </w:rPr>
        <w:t xml:space="preserve">Tööstuslik ringmajandus </w:t>
      </w:r>
      <w:r w:rsidRPr="005813D9">
        <w:rPr>
          <w:sz w:val="22"/>
          <w:szCs w:val="22"/>
        </w:rPr>
        <w:t>on ka suund, mille on valinud sarnase ressursimahuka tööstusega Põhjamaad</w:t>
      </w:r>
      <w:r w:rsidR="00DD43AC">
        <w:rPr>
          <w:sz w:val="22"/>
          <w:szCs w:val="22"/>
        </w:rPr>
        <w:t>,</w:t>
      </w:r>
      <w:r w:rsidRPr="005813D9">
        <w:rPr>
          <w:sz w:val="22"/>
          <w:szCs w:val="22"/>
        </w:rPr>
        <w:t xml:space="preserve"> kes keskenduvad väikese kliimamõju ja ringse majanduse edendamisel eraldi just ressursimahukate tööstussektorites uuenduslike ja ringsete lahenduste arendamisele läbi riiklikult toetatud teadus- ja arendusprogrammide. Selliste suurte ja riigi ressursitootlikkuse seisukohast prioriteetsete tööstuslahendust</w:t>
      </w:r>
      <w:r w:rsidR="00634AE8">
        <w:rPr>
          <w:sz w:val="22"/>
          <w:szCs w:val="22"/>
        </w:rPr>
        <w:t>e</w:t>
      </w:r>
      <w:r w:rsidRPr="005813D9">
        <w:rPr>
          <w:sz w:val="22"/>
          <w:szCs w:val="22"/>
        </w:rPr>
        <w:t xml:space="preserve"> arendamine ja rakendamine pole võimalik ilma riigi selge toetuseta</w:t>
      </w:r>
      <w:r w:rsidR="00D9403A">
        <w:rPr>
          <w:sz w:val="22"/>
          <w:szCs w:val="22"/>
        </w:rPr>
        <w:t xml:space="preserve"> </w:t>
      </w:r>
      <w:r w:rsidR="00D9403A" w:rsidRPr="00D9403A">
        <w:rPr>
          <w:sz w:val="22"/>
          <w:szCs w:val="22"/>
        </w:rPr>
        <w:t>(õiguslik raamistik, ettevõtluskeskkond, toetus ringsetele arendusprojektidele jne)</w:t>
      </w:r>
      <w:r w:rsidRPr="005813D9">
        <w:rPr>
          <w:sz w:val="22"/>
          <w:szCs w:val="22"/>
        </w:rPr>
        <w:t>.</w:t>
      </w:r>
    </w:p>
    <w:p w14:paraId="2E722012" w14:textId="7638A5FA" w:rsidR="00482AFF" w:rsidRPr="0062529A" w:rsidRDefault="00C45DF7" w:rsidP="006A31E3">
      <w:pPr>
        <w:spacing w:after="120"/>
        <w:rPr>
          <w:b/>
          <w:bCs/>
          <w:sz w:val="28"/>
          <w:szCs w:val="28"/>
        </w:rPr>
      </w:pPr>
      <w:r w:rsidRPr="0062529A">
        <w:rPr>
          <w:b/>
          <w:bCs/>
          <w:sz w:val="28"/>
          <w:szCs w:val="28"/>
        </w:rPr>
        <w:t>Millele tuleks riiklikul tasandil tähelepanu pöörata?</w:t>
      </w:r>
    </w:p>
    <w:p w14:paraId="5DB9398A" w14:textId="032170AF" w:rsidR="00EB4B33" w:rsidRPr="00EB4B33" w:rsidRDefault="00EB4B33" w:rsidP="00EB4B33">
      <w:pPr>
        <w:spacing w:after="120"/>
        <w:jc w:val="both"/>
        <w:rPr>
          <w:b/>
          <w:bCs/>
          <w:sz w:val="22"/>
          <w:szCs w:val="22"/>
        </w:rPr>
      </w:pPr>
      <w:r w:rsidRPr="00EB4B33">
        <w:rPr>
          <w:b/>
          <w:bCs/>
          <w:sz w:val="22"/>
          <w:szCs w:val="22"/>
        </w:rPr>
        <w:t>Ringmajandus</w:t>
      </w:r>
      <w:r w:rsidR="0062529A">
        <w:rPr>
          <w:b/>
          <w:bCs/>
          <w:sz w:val="22"/>
          <w:szCs w:val="22"/>
        </w:rPr>
        <w:t>t tuleb</w:t>
      </w:r>
      <w:r w:rsidRPr="00EB4B33">
        <w:rPr>
          <w:b/>
          <w:bCs/>
          <w:sz w:val="22"/>
          <w:szCs w:val="22"/>
        </w:rPr>
        <w:t xml:space="preserve"> </w:t>
      </w:r>
      <w:r w:rsidR="007B5AC2">
        <w:rPr>
          <w:b/>
          <w:bCs/>
          <w:sz w:val="22"/>
          <w:szCs w:val="22"/>
        </w:rPr>
        <w:t xml:space="preserve">käsitleda </w:t>
      </w:r>
      <w:r w:rsidR="00C7096C">
        <w:rPr>
          <w:b/>
          <w:bCs/>
          <w:sz w:val="22"/>
          <w:szCs w:val="22"/>
        </w:rPr>
        <w:t xml:space="preserve">ministeeriumide üleselt ja </w:t>
      </w:r>
      <w:r w:rsidRPr="00EB4B33">
        <w:rPr>
          <w:b/>
          <w:bCs/>
          <w:sz w:val="22"/>
          <w:szCs w:val="22"/>
        </w:rPr>
        <w:t>integreerida laiapõhjaliselt riigi strateegilistesse dokumentidesse</w:t>
      </w:r>
    </w:p>
    <w:p w14:paraId="3B07A5CB" w14:textId="2DA50BD8" w:rsidR="002B11AD" w:rsidRDefault="00BA1AB1" w:rsidP="00EB4B33">
      <w:pPr>
        <w:spacing w:after="120"/>
        <w:jc w:val="both"/>
        <w:rPr>
          <w:sz w:val="22"/>
          <w:szCs w:val="22"/>
        </w:rPr>
      </w:pPr>
      <w:r w:rsidRPr="00EB4B33">
        <w:rPr>
          <w:sz w:val="22"/>
          <w:szCs w:val="22"/>
        </w:rPr>
        <w:t>Ringmajandus</w:t>
      </w:r>
      <w:r w:rsidR="00AD7F4E">
        <w:rPr>
          <w:sz w:val="22"/>
          <w:szCs w:val="22"/>
        </w:rPr>
        <w:t xml:space="preserve"> </w:t>
      </w:r>
      <w:r w:rsidR="00317B7B" w:rsidRPr="00EB4B33">
        <w:rPr>
          <w:sz w:val="22"/>
          <w:szCs w:val="22"/>
        </w:rPr>
        <w:t>on osa üldisest majanduspoliitikast</w:t>
      </w:r>
      <w:r w:rsidR="00317B7B">
        <w:rPr>
          <w:sz w:val="22"/>
          <w:szCs w:val="22"/>
        </w:rPr>
        <w:t xml:space="preserve">, mitte ainult </w:t>
      </w:r>
      <w:r w:rsidR="00AD7F4E">
        <w:rPr>
          <w:sz w:val="22"/>
          <w:szCs w:val="22"/>
        </w:rPr>
        <w:t xml:space="preserve">kitsalt keskkonnapoliitika </w:t>
      </w:r>
      <w:r w:rsidR="00317B7B">
        <w:rPr>
          <w:sz w:val="22"/>
          <w:szCs w:val="22"/>
        </w:rPr>
        <w:t xml:space="preserve">valdkond. </w:t>
      </w:r>
      <w:r w:rsidR="00EB4B33" w:rsidRPr="00EB4B33">
        <w:rPr>
          <w:sz w:val="22"/>
          <w:szCs w:val="22"/>
        </w:rPr>
        <w:t xml:space="preserve">Täna puudub Eestis riiklikul tasandil ühtne ringmajanduse edendamise strateegiline nägemus. </w:t>
      </w:r>
      <w:r w:rsidR="00E551C0" w:rsidRPr="00EB4B33">
        <w:rPr>
          <w:sz w:val="22"/>
          <w:szCs w:val="22"/>
        </w:rPr>
        <w:t xml:space="preserve">Ringmajanduse edendamine ei saa olla ainult Keskkonnaministeeriumi pärusmaa, vaid seda tuleb teha ministeeriumide üleselt. Keskkonnaministeeriumil puuduvad hoovad ringmajanduse kui uue majandusmudeli rakendamiseks. </w:t>
      </w:r>
      <w:r w:rsidR="00E551C0">
        <w:rPr>
          <w:sz w:val="22"/>
          <w:szCs w:val="22"/>
        </w:rPr>
        <w:t xml:space="preserve">Ringmajanduse arendamiseks vajaliku strateegilise </w:t>
      </w:r>
      <w:r w:rsidR="00E551C0" w:rsidRPr="002B11AD">
        <w:rPr>
          <w:sz w:val="22"/>
          <w:szCs w:val="22"/>
        </w:rPr>
        <w:t xml:space="preserve">ja regulatiivse raamistiku loomisel on </w:t>
      </w:r>
      <w:r w:rsidR="000C719A">
        <w:rPr>
          <w:sz w:val="22"/>
          <w:szCs w:val="22"/>
        </w:rPr>
        <w:t>K</w:t>
      </w:r>
      <w:r w:rsidR="00E551C0" w:rsidRPr="002B11AD">
        <w:rPr>
          <w:sz w:val="22"/>
          <w:szCs w:val="22"/>
        </w:rPr>
        <w:t xml:space="preserve">eskkonnaministeeriumi kõrval </w:t>
      </w:r>
      <w:r w:rsidR="00E551C0">
        <w:rPr>
          <w:sz w:val="22"/>
          <w:szCs w:val="22"/>
        </w:rPr>
        <w:t xml:space="preserve">oluline </w:t>
      </w:r>
      <w:r w:rsidR="00454FF5">
        <w:rPr>
          <w:sz w:val="22"/>
          <w:szCs w:val="22"/>
        </w:rPr>
        <w:t xml:space="preserve">roll </w:t>
      </w:r>
      <w:r w:rsidR="00E551C0" w:rsidRPr="002B11AD">
        <w:rPr>
          <w:sz w:val="22"/>
          <w:szCs w:val="22"/>
        </w:rPr>
        <w:t>ka teistel ministeeriumitel</w:t>
      </w:r>
      <w:r w:rsidR="00A35780">
        <w:rPr>
          <w:sz w:val="22"/>
          <w:szCs w:val="22"/>
        </w:rPr>
        <w:t>,</w:t>
      </w:r>
      <w:r w:rsidR="00E551C0" w:rsidRPr="002B11AD">
        <w:rPr>
          <w:sz w:val="22"/>
          <w:szCs w:val="22"/>
        </w:rPr>
        <w:t xml:space="preserve"> sh riigi majandus- ja rahanduspoliitika kujundajatena Majandus- ja Kommunikatsiooniministeeriumil ning Rahandusministeeriumil</w:t>
      </w:r>
      <w:r w:rsidR="002D7A03">
        <w:rPr>
          <w:sz w:val="22"/>
          <w:szCs w:val="22"/>
        </w:rPr>
        <w:t>,</w:t>
      </w:r>
      <w:r w:rsidR="00E551C0" w:rsidRPr="002B11AD">
        <w:rPr>
          <w:sz w:val="22"/>
          <w:szCs w:val="22"/>
        </w:rPr>
        <w:t xml:space="preserve"> </w:t>
      </w:r>
      <w:r w:rsidR="002D7A03">
        <w:rPr>
          <w:sz w:val="22"/>
          <w:szCs w:val="22"/>
        </w:rPr>
        <w:t>samuti</w:t>
      </w:r>
      <w:r w:rsidR="00E551C0" w:rsidRPr="002B11AD">
        <w:rPr>
          <w:sz w:val="22"/>
          <w:szCs w:val="22"/>
        </w:rPr>
        <w:t xml:space="preserve"> biomajanduse edendamise seisukohast Maaeluministeeriumil.</w:t>
      </w:r>
      <w:r w:rsidR="007E6BD8">
        <w:rPr>
          <w:sz w:val="22"/>
          <w:szCs w:val="22"/>
        </w:rPr>
        <w:t xml:space="preserve"> </w:t>
      </w:r>
    </w:p>
    <w:p w14:paraId="25E14298" w14:textId="5DDC2553" w:rsidR="00EB4B33" w:rsidRDefault="005E035A" w:rsidP="00EB4B33">
      <w:pPr>
        <w:spacing w:after="120"/>
        <w:jc w:val="both"/>
        <w:rPr>
          <w:sz w:val="22"/>
          <w:szCs w:val="22"/>
        </w:rPr>
      </w:pPr>
      <w:r>
        <w:rPr>
          <w:sz w:val="22"/>
          <w:szCs w:val="22"/>
        </w:rPr>
        <w:t>S</w:t>
      </w:r>
      <w:r w:rsidR="00EB4B33" w:rsidRPr="00EB4B33">
        <w:rPr>
          <w:sz w:val="22"/>
          <w:szCs w:val="22"/>
        </w:rPr>
        <w:t>uurem osa edumeelsemaid EL</w:t>
      </w:r>
      <w:r w:rsidR="00A35780">
        <w:rPr>
          <w:sz w:val="22"/>
          <w:szCs w:val="22"/>
        </w:rPr>
        <w:t>-i liikmes</w:t>
      </w:r>
      <w:r w:rsidR="00EB4B33" w:rsidRPr="00EB4B33">
        <w:rPr>
          <w:sz w:val="22"/>
          <w:szCs w:val="22"/>
        </w:rPr>
        <w:t xml:space="preserve">riike </w:t>
      </w:r>
      <w:r w:rsidR="003F740E">
        <w:rPr>
          <w:sz w:val="22"/>
          <w:szCs w:val="22"/>
        </w:rPr>
        <w:t xml:space="preserve">on </w:t>
      </w:r>
      <w:r w:rsidR="00EB4B33" w:rsidRPr="00EB4B33">
        <w:rPr>
          <w:sz w:val="22"/>
          <w:szCs w:val="22"/>
        </w:rPr>
        <w:t xml:space="preserve">koostanud ringmajanduse strateegia riiklikul tasemel ja ministeeriumide üleselt. Nii oleks soovitatav ka Eestis ringmajanduse strateegiline dokument koostada riiklikul tasemel ja ministeeriumide üleselt. </w:t>
      </w:r>
      <w:r w:rsidR="005332E5">
        <w:rPr>
          <w:sz w:val="22"/>
          <w:szCs w:val="22"/>
        </w:rPr>
        <w:t>See looks eelduse</w:t>
      </w:r>
      <w:r w:rsidR="00075DD1" w:rsidRPr="00EB4B33">
        <w:rPr>
          <w:sz w:val="22"/>
          <w:szCs w:val="22"/>
        </w:rPr>
        <w:t xml:space="preserve"> </w:t>
      </w:r>
      <w:r w:rsidR="005332E5">
        <w:rPr>
          <w:sz w:val="22"/>
          <w:szCs w:val="22"/>
        </w:rPr>
        <w:t xml:space="preserve">ringmajanduse </w:t>
      </w:r>
      <w:r w:rsidR="004C294F">
        <w:rPr>
          <w:sz w:val="22"/>
          <w:szCs w:val="22"/>
        </w:rPr>
        <w:t>põhimõt</w:t>
      </w:r>
      <w:r w:rsidR="00890DD6">
        <w:rPr>
          <w:sz w:val="22"/>
          <w:szCs w:val="22"/>
        </w:rPr>
        <w:t>ete</w:t>
      </w:r>
      <w:r w:rsidR="004C294F">
        <w:rPr>
          <w:sz w:val="22"/>
          <w:szCs w:val="22"/>
        </w:rPr>
        <w:t xml:space="preserve"> </w:t>
      </w:r>
      <w:r w:rsidR="00890DD6" w:rsidRPr="00EB4B33">
        <w:rPr>
          <w:sz w:val="22"/>
          <w:szCs w:val="22"/>
        </w:rPr>
        <w:t>integreeri</w:t>
      </w:r>
      <w:r w:rsidR="00890DD6">
        <w:rPr>
          <w:sz w:val="22"/>
          <w:szCs w:val="22"/>
        </w:rPr>
        <w:t>miseks</w:t>
      </w:r>
      <w:r w:rsidR="004C294F">
        <w:rPr>
          <w:sz w:val="22"/>
          <w:szCs w:val="22"/>
        </w:rPr>
        <w:t xml:space="preserve"> </w:t>
      </w:r>
      <w:r w:rsidR="00075DD1" w:rsidRPr="00EB4B33">
        <w:rPr>
          <w:sz w:val="22"/>
          <w:szCs w:val="22"/>
        </w:rPr>
        <w:t xml:space="preserve">laiapõhjaliselt kõikidesse asjakohastesse riiklikesse strateegilistesse dokumentidesse. </w:t>
      </w:r>
      <w:r w:rsidR="00EB4B33" w:rsidRPr="00EB4B33">
        <w:rPr>
          <w:sz w:val="22"/>
          <w:szCs w:val="22"/>
        </w:rPr>
        <w:t>See aitaks ringmajanduse rakendamist edendada ja sihitatult toetada ka läbi erinevate riigi sihtasutuste (nt KIK, EAS).</w:t>
      </w:r>
    </w:p>
    <w:p w14:paraId="5DC8C924" w14:textId="4C834EE7" w:rsidR="00767013" w:rsidRPr="00767013" w:rsidRDefault="00767013" w:rsidP="00767013">
      <w:pPr>
        <w:spacing w:after="120"/>
        <w:jc w:val="both"/>
        <w:rPr>
          <w:b/>
          <w:bCs/>
          <w:sz w:val="22"/>
          <w:szCs w:val="22"/>
        </w:rPr>
      </w:pPr>
      <w:r w:rsidRPr="00767013">
        <w:rPr>
          <w:b/>
          <w:bCs/>
          <w:sz w:val="22"/>
          <w:szCs w:val="22"/>
        </w:rPr>
        <w:t xml:space="preserve">Eraldi tähelepanu </w:t>
      </w:r>
      <w:r w:rsidR="00F8108D">
        <w:rPr>
          <w:b/>
          <w:bCs/>
          <w:sz w:val="22"/>
          <w:szCs w:val="22"/>
        </w:rPr>
        <w:t xml:space="preserve">riigi seisukohast oluliste </w:t>
      </w:r>
      <w:r w:rsidR="00F44980">
        <w:rPr>
          <w:b/>
          <w:bCs/>
          <w:sz w:val="22"/>
          <w:szCs w:val="22"/>
        </w:rPr>
        <w:t xml:space="preserve">tööstuslike ringmajanduse </w:t>
      </w:r>
      <w:r w:rsidRPr="00767013">
        <w:rPr>
          <w:b/>
          <w:bCs/>
          <w:sz w:val="22"/>
          <w:szCs w:val="22"/>
        </w:rPr>
        <w:t>lahenduste arendamisele</w:t>
      </w:r>
    </w:p>
    <w:p w14:paraId="0C6488D8" w14:textId="54F1E7F8" w:rsidR="00767013" w:rsidRDefault="00767013" w:rsidP="00767013">
      <w:pPr>
        <w:spacing w:after="120"/>
        <w:jc w:val="both"/>
        <w:rPr>
          <w:sz w:val="22"/>
          <w:szCs w:val="22"/>
        </w:rPr>
      </w:pPr>
      <w:r w:rsidRPr="00767013">
        <w:rPr>
          <w:sz w:val="22"/>
          <w:szCs w:val="22"/>
        </w:rPr>
        <w:t xml:space="preserve">Ringmajandus </w:t>
      </w:r>
      <w:r w:rsidR="003A06A3">
        <w:rPr>
          <w:sz w:val="22"/>
          <w:szCs w:val="22"/>
        </w:rPr>
        <w:t xml:space="preserve">on osa </w:t>
      </w:r>
      <w:r w:rsidRPr="00767013">
        <w:rPr>
          <w:sz w:val="22"/>
          <w:szCs w:val="22"/>
        </w:rPr>
        <w:t>riigi majandus-</w:t>
      </w:r>
      <w:r w:rsidR="00B72CE8">
        <w:rPr>
          <w:sz w:val="22"/>
          <w:szCs w:val="22"/>
        </w:rPr>
        <w:t>,</w:t>
      </w:r>
      <w:r w:rsidRPr="00767013">
        <w:rPr>
          <w:sz w:val="22"/>
          <w:szCs w:val="22"/>
        </w:rPr>
        <w:t xml:space="preserve"> sh tööstuspoliitikast. Ringmajanduse edendamisel tuleb eraldi tähelepanu pöörata ressursimahukatele tööstussektoritele, kuna ringmajanduse põhimõtete laiem rakendamine nendes sektorites aitab kõige enam kaasa süsinikuneutraalse, ressursitõhusa</w:t>
      </w:r>
      <w:r w:rsidR="00AC1E6F">
        <w:rPr>
          <w:sz w:val="22"/>
          <w:szCs w:val="22"/>
        </w:rPr>
        <w:t>/ringse</w:t>
      </w:r>
      <w:r w:rsidRPr="00767013">
        <w:rPr>
          <w:sz w:val="22"/>
          <w:szCs w:val="22"/>
        </w:rPr>
        <w:t xml:space="preserve"> ja konkurentsivõimelise majandusmudeli poole liikumisel. Seetõttu tuleks riiklikul tasandil välja selgitada perspektiivsed </w:t>
      </w:r>
      <w:r w:rsidR="00C831BF">
        <w:rPr>
          <w:sz w:val="22"/>
          <w:szCs w:val="22"/>
        </w:rPr>
        <w:t xml:space="preserve">tööstussektorid ja </w:t>
      </w:r>
      <w:r w:rsidR="003F56BF">
        <w:rPr>
          <w:sz w:val="22"/>
          <w:szCs w:val="22"/>
        </w:rPr>
        <w:t>-</w:t>
      </w:r>
      <w:r w:rsidRPr="00767013">
        <w:rPr>
          <w:sz w:val="22"/>
          <w:szCs w:val="22"/>
        </w:rPr>
        <w:t>lahendused, mis aitaksid riigi tasandil olulises mahus ressursitõhusust ja materjalide kõrgemal tasemel väärindamist tagada (nt puidurafineerimi</w:t>
      </w:r>
      <w:r w:rsidR="000714F5">
        <w:rPr>
          <w:sz w:val="22"/>
          <w:szCs w:val="22"/>
        </w:rPr>
        <w:t>se võimekuse tõstmine</w:t>
      </w:r>
      <w:r w:rsidRPr="00767013">
        <w:rPr>
          <w:sz w:val="22"/>
          <w:szCs w:val="22"/>
        </w:rPr>
        <w:t xml:space="preserve">, põlevkiviõlitootmise ümberkujundamine keemilise ringlussevõtu lahendusteks, mineraalsete jääkide </w:t>
      </w:r>
      <w:r w:rsidR="00E46EF5">
        <w:rPr>
          <w:sz w:val="22"/>
          <w:szCs w:val="22"/>
        </w:rPr>
        <w:t xml:space="preserve">ehitussektoris </w:t>
      </w:r>
      <w:r w:rsidRPr="00767013">
        <w:rPr>
          <w:sz w:val="22"/>
          <w:szCs w:val="22"/>
        </w:rPr>
        <w:t>taaskasutamise ja toormena väärindami</w:t>
      </w:r>
      <w:r w:rsidR="00E46EF5">
        <w:rPr>
          <w:sz w:val="22"/>
          <w:szCs w:val="22"/>
        </w:rPr>
        <w:t>ne</w:t>
      </w:r>
      <w:r w:rsidRPr="00767013">
        <w:rPr>
          <w:sz w:val="22"/>
          <w:szCs w:val="22"/>
        </w:rPr>
        <w:t xml:space="preserve">, biomajanduse lahendused, </w:t>
      </w:r>
      <w:r w:rsidR="00AA6F3C">
        <w:rPr>
          <w:sz w:val="22"/>
          <w:szCs w:val="22"/>
        </w:rPr>
        <w:t xml:space="preserve">põlevkivitöötlemise jääkide </w:t>
      </w:r>
      <w:r w:rsidR="00A8583E">
        <w:rPr>
          <w:sz w:val="22"/>
          <w:szCs w:val="22"/>
        </w:rPr>
        <w:t>ringmajanduslikud väärindamised</w:t>
      </w:r>
      <w:r w:rsidRPr="00767013">
        <w:rPr>
          <w:sz w:val="22"/>
          <w:szCs w:val="22"/>
        </w:rPr>
        <w:t xml:space="preserve">). </w:t>
      </w:r>
      <w:r w:rsidR="00232310">
        <w:rPr>
          <w:sz w:val="22"/>
          <w:szCs w:val="22"/>
        </w:rPr>
        <w:t>Teiste riikide</w:t>
      </w:r>
      <w:r w:rsidRPr="00767013">
        <w:rPr>
          <w:sz w:val="22"/>
          <w:szCs w:val="22"/>
        </w:rPr>
        <w:t xml:space="preserve"> eeskujul tuleks nende riiklikul tasandil kokkulepitud prioriteet</w:t>
      </w:r>
      <w:r w:rsidR="0047668B">
        <w:rPr>
          <w:sz w:val="22"/>
          <w:szCs w:val="22"/>
        </w:rPr>
        <w:t>valdkondade/</w:t>
      </w:r>
      <w:r w:rsidRPr="00767013">
        <w:rPr>
          <w:sz w:val="22"/>
          <w:szCs w:val="22"/>
        </w:rPr>
        <w:t xml:space="preserve">lahenduste arendamiseks ellu kutsuda riiklikud arendusprogrammid, kuhu kaasata </w:t>
      </w:r>
      <w:r w:rsidR="00245DE2">
        <w:rPr>
          <w:sz w:val="22"/>
          <w:szCs w:val="22"/>
        </w:rPr>
        <w:t xml:space="preserve">valdkonna olulised </w:t>
      </w:r>
      <w:r w:rsidRPr="00767013">
        <w:rPr>
          <w:sz w:val="22"/>
          <w:szCs w:val="22"/>
        </w:rPr>
        <w:t xml:space="preserve">ettevõtted, teadusasutused jm osapooled. Vajalike lahenduste rakendamine peaks olema riigi prioriteet ja seega saama ka vajadusel </w:t>
      </w:r>
      <w:r w:rsidRPr="00767013">
        <w:rPr>
          <w:sz w:val="22"/>
          <w:szCs w:val="22"/>
        </w:rPr>
        <w:lastRenderedPageBreak/>
        <w:t xml:space="preserve">riigi tuge </w:t>
      </w:r>
      <w:r w:rsidR="006A1174">
        <w:rPr>
          <w:sz w:val="22"/>
          <w:szCs w:val="22"/>
        </w:rPr>
        <w:t>arendus</w:t>
      </w:r>
      <w:r w:rsidRPr="00767013">
        <w:rPr>
          <w:sz w:val="22"/>
          <w:szCs w:val="22"/>
        </w:rPr>
        <w:t>projektide rakendamise erinevatel etappidel (sarnaselt taastuvelektritootmise</w:t>
      </w:r>
      <w:r w:rsidR="008647EB">
        <w:rPr>
          <w:sz w:val="22"/>
          <w:szCs w:val="22"/>
        </w:rPr>
        <w:t xml:space="preserve"> edendamisega</w:t>
      </w:r>
      <w:r w:rsidRPr="00767013">
        <w:rPr>
          <w:sz w:val="22"/>
          <w:szCs w:val="22"/>
        </w:rPr>
        <w:t>). Täna Eestis tegutsevad ressursimahukad ettevõtted on valmis ise investeerima olulisel määral väikese kliimamõjuga ja ringsetesse lahendusesse (sh tänaste tehnoloogiate edasiarendusse)</w:t>
      </w:r>
      <w:r w:rsidR="00F84A21">
        <w:rPr>
          <w:sz w:val="22"/>
          <w:szCs w:val="22"/>
        </w:rPr>
        <w:t>,</w:t>
      </w:r>
      <w:r w:rsidRPr="00767013">
        <w:rPr>
          <w:sz w:val="22"/>
          <w:szCs w:val="22"/>
        </w:rPr>
        <w:t xml:space="preserve"> juhul kui riik selge</w:t>
      </w:r>
      <w:r w:rsidR="00A520BB">
        <w:rPr>
          <w:sz w:val="22"/>
          <w:szCs w:val="22"/>
        </w:rPr>
        <w:t>lt näitab</w:t>
      </w:r>
      <w:r w:rsidRPr="00767013">
        <w:rPr>
          <w:sz w:val="22"/>
          <w:szCs w:val="22"/>
        </w:rPr>
        <w:t>, et toetab selliseid arendusi. Sarnast lähenemist kasutavad ka näiteks Põhjamaad, kes on oma kliima- ja ringmajanduse strateegilistes dokumentides määratlenud olulised tööstusvaldkonnad ja prioriteetsed lahendused ning läbi riiklike arendusprogrammide toetavad kõrgemat väärtust andvate tööstusprojektide elluviimist.</w:t>
      </w:r>
    </w:p>
    <w:p w14:paraId="4DC4846E" w14:textId="150E9DE5" w:rsidR="00EB4B33" w:rsidRPr="00EB4B33" w:rsidRDefault="00EB4B33" w:rsidP="00EB4B33">
      <w:pPr>
        <w:spacing w:after="120"/>
        <w:jc w:val="both"/>
        <w:rPr>
          <w:b/>
          <w:bCs/>
          <w:sz w:val="22"/>
          <w:szCs w:val="22"/>
        </w:rPr>
      </w:pPr>
      <w:r w:rsidRPr="00EB4B33">
        <w:rPr>
          <w:b/>
          <w:bCs/>
          <w:sz w:val="22"/>
          <w:szCs w:val="22"/>
        </w:rPr>
        <w:t xml:space="preserve">Oluline on luua ringmajanduse praktikaid toetav õiguslik raamistik ja </w:t>
      </w:r>
      <w:r w:rsidR="003942A5">
        <w:rPr>
          <w:b/>
          <w:bCs/>
          <w:sz w:val="22"/>
          <w:szCs w:val="22"/>
        </w:rPr>
        <w:t>uuenduslike tehnoloogiate arendamis</w:t>
      </w:r>
      <w:r w:rsidR="00280391">
        <w:rPr>
          <w:b/>
          <w:bCs/>
          <w:sz w:val="22"/>
          <w:szCs w:val="22"/>
        </w:rPr>
        <w:t>t toetav</w:t>
      </w:r>
      <w:r w:rsidR="003942A5">
        <w:rPr>
          <w:b/>
          <w:bCs/>
          <w:sz w:val="22"/>
          <w:szCs w:val="22"/>
        </w:rPr>
        <w:t xml:space="preserve"> (keskkonna)lubade </w:t>
      </w:r>
      <w:r w:rsidR="00775FFC">
        <w:rPr>
          <w:b/>
          <w:bCs/>
          <w:sz w:val="22"/>
          <w:szCs w:val="22"/>
        </w:rPr>
        <w:t>süsteem</w:t>
      </w:r>
    </w:p>
    <w:p w14:paraId="12C7142E" w14:textId="629D90A8" w:rsidR="0037764A" w:rsidRDefault="00EB4B33" w:rsidP="00CE742B">
      <w:pPr>
        <w:spacing w:after="120"/>
        <w:jc w:val="both"/>
        <w:rPr>
          <w:sz w:val="22"/>
          <w:szCs w:val="22"/>
        </w:rPr>
      </w:pPr>
      <w:r w:rsidRPr="00EB4B33">
        <w:rPr>
          <w:sz w:val="22"/>
          <w:szCs w:val="22"/>
        </w:rPr>
        <w:t>Ringmajanduse viimiseks tavapraktikasse tuleb luua seda toetav õiguslik raamistik ja majanduslik keskkond ning rakendada mõjusad stiimulid (nt maksukeskkond, investeeringute ja ärimudeli arendustoetused, regulatiivsed</w:t>
      </w:r>
      <w:r w:rsidR="006C239A">
        <w:rPr>
          <w:sz w:val="22"/>
          <w:szCs w:val="22"/>
        </w:rPr>
        <w:t>,</w:t>
      </w:r>
      <w:r w:rsidRPr="00EB4B33">
        <w:rPr>
          <w:sz w:val="22"/>
          <w:szCs w:val="22"/>
        </w:rPr>
        <w:t xml:space="preserve"> sh lubadega seotud leevendused jms). Samas tuleb silmas pidada, et õiguslik raamistik ei tekitaks bürokraatlikke takistusi ja lisakoormust ettevõtetele. </w:t>
      </w:r>
      <w:r w:rsidR="0037764A">
        <w:rPr>
          <w:sz w:val="22"/>
          <w:szCs w:val="22"/>
        </w:rPr>
        <w:t>Vastupidiselt mitmel pool väidetule,</w:t>
      </w:r>
      <w:r w:rsidR="0037764A" w:rsidRPr="00EB4B33">
        <w:rPr>
          <w:sz w:val="22"/>
          <w:szCs w:val="22"/>
        </w:rPr>
        <w:t xml:space="preserve"> on </w:t>
      </w:r>
      <w:r w:rsidR="0037764A">
        <w:rPr>
          <w:sz w:val="22"/>
          <w:szCs w:val="22"/>
        </w:rPr>
        <w:t xml:space="preserve">paljud </w:t>
      </w:r>
      <w:r w:rsidR="00A81745">
        <w:rPr>
          <w:sz w:val="22"/>
          <w:szCs w:val="22"/>
        </w:rPr>
        <w:t xml:space="preserve">Eesti </w:t>
      </w:r>
      <w:r w:rsidR="0037764A">
        <w:rPr>
          <w:sz w:val="22"/>
          <w:szCs w:val="22"/>
        </w:rPr>
        <w:t xml:space="preserve">ettevõtted </w:t>
      </w:r>
      <w:r w:rsidR="0037764A" w:rsidRPr="00EB4B33">
        <w:rPr>
          <w:sz w:val="22"/>
          <w:szCs w:val="22"/>
        </w:rPr>
        <w:t xml:space="preserve">valmis ise võtma initsiatiivi ja investeerima uutesse </w:t>
      </w:r>
      <w:r w:rsidR="0037764A">
        <w:rPr>
          <w:sz w:val="22"/>
          <w:szCs w:val="22"/>
        </w:rPr>
        <w:t xml:space="preserve">ringsetesse </w:t>
      </w:r>
      <w:r w:rsidR="0037764A" w:rsidRPr="00EB4B33">
        <w:rPr>
          <w:sz w:val="22"/>
          <w:szCs w:val="22"/>
        </w:rPr>
        <w:t>arendus</w:t>
      </w:r>
      <w:r w:rsidR="005D02A0">
        <w:rPr>
          <w:sz w:val="22"/>
          <w:szCs w:val="22"/>
        </w:rPr>
        <w:t>t</w:t>
      </w:r>
      <w:r w:rsidR="0037764A" w:rsidRPr="00EB4B33">
        <w:rPr>
          <w:sz w:val="22"/>
          <w:szCs w:val="22"/>
        </w:rPr>
        <w:t>esse</w:t>
      </w:r>
      <w:r w:rsidR="00841E5B">
        <w:rPr>
          <w:sz w:val="22"/>
          <w:szCs w:val="22"/>
        </w:rPr>
        <w:t>. Samas näitavad et</w:t>
      </w:r>
      <w:r w:rsidRPr="00EB4B33">
        <w:rPr>
          <w:sz w:val="22"/>
          <w:szCs w:val="22"/>
        </w:rPr>
        <w:t xml:space="preserve">tevõtete kogemused, et ringsete tehnoloogiate </w:t>
      </w:r>
      <w:r w:rsidR="00363511">
        <w:rPr>
          <w:sz w:val="22"/>
          <w:szCs w:val="22"/>
        </w:rPr>
        <w:t>arendami</w:t>
      </w:r>
      <w:r w:rsidR="008E2D11">
        <w:rPr>
          <w:sz w:val="22"/>
          <w:szCs w:val="22"/>
        </w:rPr>
        <w:t>ne</w:t>
      </w:r>
      <w:r w:rsidR="00363511">
        <w:rPr>
          <w:sz w:val="22"/>
          <w:szCs w:val="22"/>
        </w:rPr>
        <w:t xml:space="preserve"> ja </w:t>
      </w:r>
      <w:r w:rsidRPr="00EB4B33">
        <w:rPr>
          <w:sz w:val="22"/>
          <w:szCs w:val="22"/>
        </w:rPr>
        <w:t>rakendami</w:t>
      </w:r>
      <w:r w:rsidR="008E2D11">
        <w:rPr>
          <w:sz w:val="22"/>
          <w:szCs w:val="22"/>
        </w:rPr>
        <w:t>ne</w:t>
      </w:r>
      <w:r w:rsidRPr="00EB4B33">
        <w:rPr>
          <w:sz w:val="22"/>
          <w:szCs w:val="22"/>
        </w:rPr>
        <w:t xml:space="preserve"> on üha rohkem takerdunud planeeringute ja tegevus(keskkonna)lubade menetluste rägastikesse, mistõttu on ettevõtete motivatsioon ringsete</w:t>
      </w:r>
      <w:r w:rsidR="007535C6">
        <w:rPr>
          <w:sz w:val="22"/>
          <w:szCs w:val="22"/>
        </w:rPr>
        <w:t>sse</w:t>
      </w:r>
      <w:r w:rsidRPr="00EB4B33">
        <w:rPr>
          <w:sz w:val="22"/>
          <w:szCs w:val="22"/>
        </w:rPr>
        <w:t xml:space="preserve"> lahendustesse investeerida </w:t>
      </w:r>
      <w:r w:rsidR="001C61DE">
        <w:rPr>
          <w:sz w:val="22"/>
          <w:szCs w:val="22"/>
        </w:rPr>
        <w:t>tunduvalt</w:t>
      </w:r>
      <w:r w:rsidRPr="00EB4B33">
        <w:rPr>
          <w:sz w:val="22"/>
          <w:szCs w:val="22"/>
        </w:rPr>
        <w:t xml:space="preserve"> langenud.</w:t>
      </w:r>
      <w:r w:rsidR="00CE742B" w:rsidRPr="00CE742B">
        <w:rPr>
          <w:sz w:val="22"/>
          <w:szCs w:val="22"/>
        </w:rPr>
        <w:t xml:space="preserve"> </w:t>
      </w:r>
      <w:r w:rsidR="008F1DBB">
        <w:rPr>
          <w:sz w:val="22"/>
          <w:szCs w:val="22"/>
        </w:rPr>
        <w:t xml:space="preserve">Mitmed Eesti ressursitõhususe suurendamise seisukohast olulised </w:t>
      </w:r>
      <w:r w:rsidR="00555354">
        <w:rPr>
          <w:sz w:val="22"/>
          <w:szCs w:val="22"/>
        </w:rPr>
        <w:t>tööstus</w:t>
      </w:r>
      <w:r w:rsidR="00CE742B">
        <w:rPr>
          <w:sz w:val="22"/>
          <w:szCs w:val="22"/>
        </w:rPr>
        <w:t>projektid</w:t>
      </w:r>
      <w:r w:rsidR="00555354">
        <w:rPr>
          <w:sz w:val="22"/>
          <w:szCs w:val="22"/>
        </w:rPr>
        <w:t>e</w:t>
      </w:r>
      <w:r w:rsidR="00CE742B">
        <w:rPr>
          <w:sz w:val="22"/>
          <w:szCs w:val="22"/>
        </w:rPr>
        <w:t xml:space="preserve"> katsed </w:t>
      </w:r>
      <w:r w:rsidR="007535C6">
        <w:rPr>
          <w:sz w:val="22"/>
          <w:szCs w:val="22"/>
        </w:rPr>
        <w:t xml:space="preserve">on </w:t>
      </w:r>
      <w:r w:rsidR="00CE742B">
        <w:rPr>
          <w:sz w:val="22"/>
          <w:szCs w:val="22"/>
        </w:rPr>
        <w:t>jäänud nii ühiskonna vastuseisu kui ka planeeringute ja tegevus(keskkonna)lubade menetlustoimingut</w:t>
      </w:r>
      <w:r w:rsidR="009F6B9E">
        <w:rPr>
          <w:sz w:val="22"/>
          <w:szCs w:val="22"/>
        </w:rPr>
        <w:t>e</w:t>
      </w:r>
      <w:r w:rsidR="00CE742B">
        <w:rPr>
          <w:sz w:val="22"/>
          <w:szCs w:val="22"/>
        </w:rPr>
        <w:t xml:space="preserve"> takerdumisel juba varajases faasis seisma.</w:t>
      </w:r>
    </w:p>
    <w:p w14:paraId="1BDAF05C" w14:textId="055D67CB" w:rsidR="00CE742B" w:rsidRDefault="00CE742B" w:rsidP="00CE742B">
      <w:pPr>
        <w:spacing w:after="120"/>
        <w:jc w:val="both"/>
        <w:rPr>
          <w:sz w:val="22"/>
          <w:szCs w:val="22"/>
        </w:rPr>
      </w:pPr>
      <w:r>
        <w:rPr>
          <w:sz w:val="22"/>
          <w:szCs w:val="22"/>
        </w:rPr>
        <w:t xml:space="preserve">Lisaks on tänane </w:t>
      </w:r>
      <w:r w:rsidR="00D904A6">
        <w:rPr>
          <w:sz w:val="22"/>
          <w:szCs w:val="22"/>
        </w:rPr>
        <w:t>keskkonna</w:t>
      </w:r>
      <w:r>
        <w:rPr>
          <w:sz w:val="22"/>
          <w:szCs w:val="22"/>
        </w:rPr>
        <w:t xml:space="preserve">lubade menetlemise aeglus </w:t>
      </w:r>
      <w:r w:rsidR="00327B38">
        <w:rPr>
          <w:sz w:val="22"/>
          <w:szCs w:val="22"/>
        </w:rPr>
        <w:t xml:space="preserve">üheks suuremaks takistuseks suuremahuliste </w:t>
      </w:r>
      <w:r w:rsidR="009C33DD">
        <w:rPr>
          <w:sz w:val="22"/>
          <w:szCs w:val="22"/>
        </w:rPr>
        <w:t xml:space="preserve">tööstuslike </w:t>
      </w:r>
      <w:r w:rsidR="00327B38">
        <w:rPr>
          <w:sz w:val="22"/>
          <w:szCs w:val="22"/>
        </w:rPr>
        <w:t xml:space="preserve">arenduste </w:t>
      </w:r>
      <w:r w:rsidR="00280391">
        <w:rPr>
          <w:sz w:val="22"/>
          <w:szCs w:val="22"/>
        </w:rPr>
        <w:t>elluviimisel</w:t>
      </w:r>
      <w:r>
        <w:rPr>
          <w:sz w:val="22"/>
          <w:szCs w:val="22"/>
        </w:rPr>
        <w:t xml:space="preserve">. Ringmajanduse valdkonnas on ülioluline uute tehnoloogiliste lahenduste </w:t>
      </w:r>
      <w:r w:rsidR="00707D21">
        <w:rPr>
          <w:sz w:val="22"/>
          <w:szCs w:val="22"/>
        </w:rPr>
        <w:t xml:space="preserve">kiire arendamine </w:t>
      </w:r>
      <w:r w:rsidR="006B1C5F">
        <w:rPr>
          <w:sz w:val="22"/>
          <w:szCs w:val="22"/>
        </w:rPr>
        <w:t>ja elluviimine</w:t>
      </w:r>
      <w:r w:rsidR="00707D21">
        <w:rPr>
          <w:sz w:val="22"/>
          <w:szCs w:val="22"/>
        </w:rPr>
        <w:t xml:space="preserve"> </w:t>
      </w:r>
      <w:r>
        <w:rPr>
          <w:sz w:val="22"/>
          <w:szCs w:val="22"/>
        </w:rPr>
        <w:t>(st peab olema võimalus uuenduslikke lahendusi testida ja rakendada kiiresti</w:t>
      </w:r>
      <w:r w:rsidR="009C286F">
        <w:rPr>
          <w:sz w:val="22"/>
          <w:szCs w:val="22"/>
        </w:rPr>
        <w:t>, mis eeldab ka vajalike keskkonnalubade kiiret menetlemist</w:t>
      </w:r>
      <w:r>
        <w:rPr>
          <w:sz w:val="22"/>
          <w:szCs w:val="22"/>
        </w:rPr>
        <w:t>).</w:t>
      </w:r>
      <w:r w:rsidR="00F531F6" w:rsidRPr="00F531F6">
        <w:rPr>
          <w:sz w:val="22"/>
          <w:szCs w:val="22"/>
        </w:rPr>
        <w:t xml:space="preserve"> </w:t>
      </w:r>
      <w:r w:rsidR="00F531F6">
        <w:rPr>
          <w:sz w:val="22"/>
          <w:szCs w:val="22"/>
        </w:rPr>
        <w:t>T</w:t>
      </w:r>
      <w:r w:rsidR="00F531F6" w:rsidRPr="00EB4B33">
        <w:rPr>
          <w:sz w:val="22"/>
          <w:szCs w:val="22"/>
        </w:rPr>
        <w:t>änane planeeri</w:t>
      </w:r>
      <w:r w:rsidR="0078676C">
        <w:rPr>
          <w:sz w:val="22"/>
          <w:szCs w:val="22"/>
        </w:rPr>
        <w:t>n</w:t>
      </w:r>
      <w:r w:rsidR="00F531F6" w:rsidRPr="00EB4B33">
        <w:rPr>
          <w:sz w:val="22"/>
          <w:szCs w:val="22"/>
        </w:rPr>
        <w:t>gute ja lubade süsteem seda ei toeta.</w:t>
      </w:r>
    </w:p>
    <w:p w14:paraId="76532F8C" w14:textId="6D2F27D0" w:rsidR="00EB4B33" w:rsidRDefault="00EB4B33" w:rsidP="00EC37DE">
      <w:pPr>
        <w:spacing w:after="120"/>
        <w:jc w:val="both"/>
        <w:rPr>
          <w:sz w:val="22"/>
          <w:szCs w:val="22"/>
        </w:rPr>
      </w:pPr>
      <w:r w:rsidRPr="00EB4B33">
        <w:rPr>
          <w:sz w:val="22"/>
          <w:szCs w:val="22"/>
        </w:rPr>
        <w:t>Siin tuleb kiiremas korras leida kõrgemal tasemel lahendus</w:t>
      </w:r>
      <w:r w:rsidR="00DD242D">
        <w:rPr>
          <w:sz w:val="22"/>
          <w:szCs w:val="22"/>
        </w:rPr>
        <w:t xml:space="preserve">, mis annaks võimaluse suuremate tööstuslike projektide puhul </w:t>
      </w:r>
      <w:r w:rsidR="009E76EE">
        <w:rPr>
          <w:sz w:val="22"/>
          <w:szCs w:val="22"/>
        </w:rPr>
        <w:t>keskkonnalub</w:t>
      </w:r>
      <w:r w:rsidR="00837AF8">
        <w:rPr>
          <w:sz w:val="22"/>
          <w:szCs w:val="22"/>
        </w:rPr>
        <w:t>e</w:t>
      </w:r>
      <w:r w:rsidR="009E76EE">
        <w:rPr>
          <w:sz w:val="22"/>
          <w:szCs w:val="22"/>
        </w:rPr>
        <w:t xml:space="preserve"> kiiremini menetleda (sh anda ajutisi loa</w:t>
      </w:r>
      <w:r w:rsidR="00A5628A">
        <w:rPr>
          <w:sz w:val="22"/>
          <w:szCs w:val="22"/>
        </w:rPr>
        <w:t xml:space="preserve">tingimusi tööstuslikeks katsetusteks). </w:t>
      </w:r>
      <w:r w:rsidR="000972EA">
        <w:rPr>
          <w:sz w:val="22"/>
          <w:szCs w:val="22"/>
        </w:rPr>
        <w:t xml:space="preserve">Ettevõtted vajavad ka riigi tuge </w:t>
      </w:r>
      <w:r w:rsidR="00C7655E">
        <w:rPr>
          <w:sz w:val="22"/>
          <w:szCs w:val="22"/>
        </w:rPr>
        <w:t>planeeringute (sh eriplaneeringute) mene</w:t>
      </w:r>
      <w:r w:rsidR="00C5152D">
        <w:rPr>
          <w:sz w:val="22"/>
          <w:szCs w:val="22"/>
        </w:rPr>
        <w:t xml:space="preserve">tlemisel. Planeeringute ja keskkonnalubade teema võiks olla </w:t>
      </w:r>
      <w:r w:rsidR="00F21343">
        <w:rPr>
          <w:sz w:val="22"/>
          <w:szCs w:val="22"/>
        </w:rPr>
        <w:t>käsitletud ühe osana</w:t>
      </w:r>
      <w:r w:rsidR="00C5152D">
        <w:rPr>
          <w:sz w:val="22"/>
          <w:szCs w:val="22"/>
        </w:rPr>
        <w:t xml:space="preserve"> </w:t>
      </w:r>
      <w:r w:rsidR="00281D19">
        <w:rPr>
          <w:sz w:val="22"/>
          <w:szCs w:val="22"/>
        </w:rPr>
        <w:t>riikl</w:t>
      </w:r>
      <w:r w:rsidR="00B21C5A">
        <w:rPr>
          <w:sz w:val="22"/>
          <w:szCs w:val="22"/>
        </w:rPr>
        <w:t>ike süsinikuneutraalsete ja ringsete tööstuslahenduste arendusprogrammide elluviimisel</w:t>
      </w:r>
      <w:r w:rsidR="00F21343">
        <w:rPr>
          <w:sz w:val="22"/>
          <w:szCs w:val="22"/>
        </w:rPr>
        <w:t xml:space="preserve"> (vt ka eelmine punkt)</w:t>
      </w:r>
      <w:r w:rsidR="00B21C5A">
        <w:rPr>
          <w:sz w:val="22"/>
          <w:szCs w:val="22"/>
        </w:rPr>
        <w:t xml:space="preserve">. </w:t>
      </w:r>
    </w:p>
    <w:p w14:paraId="6981C9F8" w14:textId="5260E1C7" w:rsidR="00F9425B" w:rsidRPr="002A15C4" w:rsidRDefault="00BF0726" w:rsidP="00EC37DE">
      <w:pPr>
        <w:spacing w:after="120"/>
        <w:jc w:val="both"/>
        <w:rPr>
          <w:b/>
          <w:bCs/>
          <w:sz w:val="22"/>
          <w:szCs w:val="22"/>
        </w:rPr>
      </w:pPr>
      <w:r w:rsidRPr="002A15C4">
        <w:rPr>
          <w:b/>
          <w:bCs/>
          <w:sz w:val="22"/>
          <w:szCs w:val="22"/>
        </w:rPr>
        <w:t xml:space="preserve">Materjalide ringset kasutamist toetavate standardite ja </w:t>
      </w:r>
      <w:r w:rsidR="00E0056C">
        <w:rPr>
          <w:b/>
          <w:bCs/>
          <w:sz w:val="22"/>
          <w:szCs w:val="22"/>
        </w:rPr>
        <w:t>normide väljatöötamine</w:t>
      </w:r>
    </w:p>
    <w:p w14:paraId="1AD77B4A" w14:textId="2731554A" w:rsidR="00350399" w:rsidRDefault="004672AF" w:rsidP="00EC37DE">
      <w:pPr>
        <w:spacing w:after="120"/>
        <w:jc w:val="both"/>
        <w:rPr>
          <w:sz w:val="22"/>
          <w:szCs w:val="22"/>
        </w:rPr>
      </w:pPr>
      <w:r>
        <w:rPr>
          <w:sz w:val="22"/>
          <w:szCs w:val="22"/>
        </w:rPr>
        <w:t>Jäätmete ning erinevate suuremahuliste</w:t>
      </w:r>
      <w:r w:rsidR="00513A0D">
        <w:rPr>
          <w:sz w:val="22"/>
          <w:szCs w:val="22"/>
        </w:rPr>
        <w:t xml:space="preserve"> j</w:t>
      </w:r>
      <w:r>
        <w:rPr>
          <w:sz w:val="22"/>
          <w:szCs w:val="22"/>
        </w:rPr>
        <w:t>ääkmaterjali</w:t>
      </w:r>
      <w:r w:rsidR="00513A0D">
        <w:rPr>
          <w:sz w:val="22"/>
          <w:szCs w:val="22"/>
        </w:rPr>
        <w:t xml:space="preserve">voogude ringlussevõtu ja laiema kasutuse eelduseks on </w:t>
      </w:r>
      <w:r w:rsidR="0012410E">
        <w:rPr>
          <w:sz w:val="22"/>
          <w:szCs w:val="22"/>
        </w:rPr>
        <w:t>vajalik</w:t>
      </w:r>
      <w:r w:rsidR="00412210">
        <w:rPr>
          <w:sz w:val="22"/>
          <w:szCs w:val="22"/>
        </w:rPr>
        <w:t>k</w:t>
      </w:r>
      <w:r w:rsidR="0012410E">
        <w:rPr>
          <w:sz w:val="22"/>
          <w:szCs w:val="22"/>
        </w:rPr>
        <w:t>e mate</w:t>
      </w:r>
      <w:r w:rsidR="00BD0B2B">
        <w:rPr>
          <w:sz w:val="22"/>
          <w:szCs w:val="22"/>
        </w:rPr>
        <w:t>r</w:t>
      </w:r>
      <w:r w:rsidR="0012410E">
        <w:rPr>
          <w:sz w:val="22"/>
          <w:szCs w:val="22"/>
        </w:rPr>
        <w:t>jaliomadus</w:t>
      </w:r>
      <w:r w:rsidR="00BD0B2B">
        <w:rPr>
          <w:sz w:val="22"/>
          <w:szCs w:val="22"/>
        </w:rPr>
        <w:t xml:space="preserve">i ja kasutustingimusi </w:t>
      </w:r>
      <w:r w:rsidR="00F61429">
        <w:rPr>
          <w:sz w:val="22"/>
          <w:szCs w:val="22"/>
        </w:rPr>
        <w:t xml:space="preserve">kirjeldatavate </w:t>
      </w:r>
      <w:r w:rsidR="0012410E">
        <w:rPr>
          <w:sz w:val="22"/>
          <w:szCs w:val="22"/>
        </w:rPr>
        <w:t>standardite</w:t>
      </w:r>
      <w:r w:rsidR="00797B10">
        <w:rPr>
          <w:sz w:val="22"/>
          <w:szCs w:val="22"/>
        </w:rPr>
        <w:t xml:space="preserve"> ja vastava õigusliku r</w:t>
      </w:r>
      <w:r w:rsidR="00350399">
        <w:rPr>
          <w:sz w:val="22"/>
          <w:szCs w:val="22"/>
        </w:rPr>
        <w:t>a</w:t>
      </w:r>
      <w:r w:rsidR="00797B10">
        <w:rPr>
          <w:sz w:val="22"/>
          <w:szCs w:val="22"/>
        </w:rPr>
        <w:t xml:space="preserve">amistiku </w:t>
      </w:r>
      <w:r w:rsidR="00350399">
        <w:rPr>
          <w:sz w:val="22"/>
          <w:szCs w:val="22"/>
        </w:rPr>
        <w:t>o</w:t>
      </w:r>
      <w:r w:rsidR="00797B10">
        <w:rPr>
          <w:sz w:val="22"/>
          <w:szCs w:val="22"/>
        </w:rPr>
        <w:t xml:space="preserve">lemasolu. </w:t>
      </w:r>
      <w:r w:rsidR="00E0296F">
        <w:rPr>
          <w:sz w:val="22"/>
          <w:szCs w:val="22"/>
        </w:rPr>
        <w:t xml:space="preserve">Täna Eestis kehtivad materjalide kvaliteedinõuded pigem ei soodusta </w:t>
      </w:r>
      <w:r w:rsidR="00104CF3">
        <w:rPr>
          <w:sz w:val="22"/>
          <w:szCs w:val="22"/>
        </w:rPr>
        <w:t>jäätmete/</w:t>
      </w:r>
      <w:r w:rsidR="00E0296F">
        <w:rPr>
          <w:sz w:val="22"/>
          <w:szCs w:val="22"/>
        </w:rPr>
        <w:t>jääkmate</w:t>
      </w:r>
      <w:r w:rsidR="00104CF3">
        <w:rPr>
          <w:sz w:val="22"/>
          <w:szCs w:val="22"/>
        </w:rPr>
        <w:t>rja</w:t>
      </w:r>
      <w:r w:rsidR="00E0296F">
        <w:rPr>
          <w:sz w:val="22"/>
          <w:szCs w:val="22"/>
        </w:rPr>
        <w:t xml:space="preserve">lide laialdast kasutamist (nt ehitussektoris). Lisaks on jäätmete lakkamise </w:t>
      </w:r>
      <w:r w:rsidR="002D5ADC">
        <w:rPr>
          <w:sz w:val="22"/>
          <w:szCs w:val="22"/>
        </w:rPr>
        <w:t>regulatsioon Eestis õiguslikult rakendatud väga bürokraatlikul ja aeganõudval viisil (</w:t>
      </w:r>
      <w:r w:rsidR="00790C02">
        <w:rPr>
          <w:sz w:val="22"/>
          <w:szCs w:val="22"/>
        </w:rPr>
        <w:t xml:space="preserve">kriteeriumid on kehtestatud </w:t>
      </w:r>
      <w:r w:rsidR="002D5ADC">
        <w:rPr>
          <w:sz w:val="22"/>
          <w:szCs w:val="22"/>
        </w:rPr>
        <w:t>keskkonnaministeeriumi määruste</w:t>
      </w:r>
      <w:r w:rsidR="001C3B90">
        <w:rPr>
          <w:sz w:val="22"/>
          <w:szCs w:val="22"/>
        </w:rPr>
        <w:t>ga</w:t>
      </w:r>
      <w:r w:rsidR="002D5ADC">
        <w:rPr>
          <w:sz w:val="22"/>
          <w:szCs w:val="22"/>
        </w:rPr>
        <w:t>)</w:t>
      </w:r>
      <w:r w:rsidR="00790C02">
        <w:rPr>
          <w:sz w:val="22"/>
          <w:szCs w:val="22"/>
        </w:rPr>
        <w:t>.</w:t>
      </w:r>
      <w:r w:rsidR="00DA558D">
        <w:rPr>
          <w:sz w:val="22"/>
          <w:szCs w:val="22"/>
        </w:rPr>
        <w:t xml:space="preserve"> Ilma riigi </w:t>
      </w:r>
      <w:r w:rsidR="00A556B3">
        <w:rPr>
          <w:sz w:val="22"/>
          <w:szCs w:val="22"/>
        </w:rPr>
        <w:t xml:space="preserve">tugeva </w:t>
      </w:r>
      <w:r w:rsidR="00DA558D">
        <w:rPr>
          <w:sz w:val="22"/>
          <w:szCs w:val="22"/>
        </w:rPr>
        <w:t>toetuseta pole võimalik ka EL</w:t>
      </w:r>
      <w:r w:rsidR="00164CA5">
        <w:rPr>
          <w:sz w:val="22"/>
          <w:szCs w:val="22"/>
        </w:rPr>
        <w:t>-i</w:t>
      </w:r>
      <w:r w:rsidR="00DA558D">
        <w:rPr>
          <w:sz w:val="22"/>
          <w:szCs w:val="22"/>
        </w:rPr>
        <w:t xml:space="preserve"> tasandil </w:t>
      </w:r>
      <w:r w:rsidR="004D0318">
        <w:rPr>
          <w:sz w:val="22"/>
          <w:szCs w:val="22"/>
        </w:rPr>
        <w:t xml:space="preserve">saada kooskõlastusi </w:t>
      </w:r>
      <w:r w:rsidR="00A556B3">
        <w:rPr>
          <w:sz w:val="22"/>
          <w:szCs w:val="22"/>
        </w:rPr>
        <w:t xml:space="preserve">Eestis välja töötatud </w:t>
      </w:r>
      <w:r w:rsidR="004D0318">
        <w:rPr>
          <w:sz w:val="22"/>
          <w:szCs w:val="22"/>
        </w:rPr>
        <w:t>ringsete lahenduste rakendamiseks (n</w:t>
      </w:r>
      <w:r w:rsidR="004C1531">
        <w:rPr>
          <w:sz w:val="22"/>
          <w:szCs w:val="22"/>
        </w:rPr>
        <w:t>t</w:t>
      </w:r>
      <w:r w:rsidR="004D0318">
        <w:rPr>
          <w:sz w:val="22"/>
          <w:szCs w:val="22"/>
        </w:rPr>
        <w:t xml:space="preserve"> </w:t>
      </w:r>
      <w:r w:rsidR="004C1531">
        <w:rPr>
          <w:sz w:val="22"/>
          <w:szCs w:val="22"/>
        </w:rPr>
        <w:t xml:space="preserve">põlevkiviõli </w:t>
      </w:r>
      <w:r w:rsidR="00831B42">
        <w:rPr>
          <w:sz w:val="22"/>
          <w:szCs w:val="22"/>
        </w:rPr>
        <w:t>p</w:t>
      </w:r>
      <w:r w:rsidR="004C1531">
        <w:rPr>
          <w:sz w:val="22"/>
          <w:szCs w:val="22"/>
        </w:rPr>
        <w:t>ürol</w:t>
      </w:r>
      <w:r w:rsidR="003E6314">
        <w:rPr>
          <w:sz w:val="22"/>
          <w:szCs w:val="22"/>
        </w:rPr>
        <w:t>üü</w:t>
      </w:r>
      <w:r w:rsidR="004C1531">
        <w:rPr>
          <w:sz w:val="22"/>
          <w:szCs w:val="22"/>
        </w:rPr>
        <w:t>siseadmetes plastide</w:t>
      </w:r>
      <w:r w:rsidR="003E6314">
        <w:rPr>
          <w:sz w:val="22"/>
          <w:szCs w:val="22"/>
        </w:rPr>
        <w:t xml:space="preserve"> keemilise</w:t>
      </w:r>
      <w:r w:rsidR="004C1531">
        <w:rPr>
          <w:sz w:val="22"/>
          <w:szCs w:val="22"/>
        </w:rPr>
        <w:t xml:space="preserve"> ringlussevõtu </w:t>
      </w:r>
      <w:r w:rsidR="00D46933">
        <w:rPr>
          <w:sz w:val="22"/>
          <w:szCs w:val="22"/>
        </w:rPr>
        <w:t>tehnoloogilis</w:t>
      </w:r>
      <w:r w:rsidR="00EC328A">
        <w:rPr>
          <w:sz w:val="22"/>
          <w:szCs w:val="22"/>
        </w:rPr>
        <w:t>e protsessi kirjelduse</w:t>
      </w:r>
      <w:r w:rsidR="00D46933">
        <w:rPr>
          <w:sz w:val="22"/>
          <w:szCs w:val="22"/>
        </w:rPr>
        <w:t xml:space="preserve"> ja ringlussevõtu arvestuse </w:t>
      </w:r>
      <w:r w:rsidR="003E6314">
        <w:rPr>
          <w:sz w:val="22"/>
          <w:szCs w:val="22"/>
        </w:rPr>
        <w:t>nõuete kehtestamine).</w:t>
      </w:r>
    </w:p>
    <w:p w14:paraId="16D92B9A" w14:textId="653A42D2" w:rsidR="00120503" w:rsidRPr="00342B2A" w:rsidRDefault="00FD7FA7" w:rsidP="00EC37DE">
      <w:pPr>
        <w:spacing w:after="120"/>
        <w:jc w:val="both"/>
        <w:rPr>
          <w:sz w:val="22"/>
          <w:szCs w:val="22"/>
        </w:rPr>
      </w:pPr>
      <w:r>
        <w:rPr>
          <w:sz w:val="22"/>
          <w:szCs w:val="22"/>
        </w:rPr>
        <w:t xml:space="preserve">Seega tuleks analüüsida ja välja töötada ringmajanduse lahendusi toetav </w:t>
      </w:r>
      <w:r w:rsidR="00224B05">
        <w:rPr>
          <w:sz w:val="22"/>
          <w:szCs w:val="22"/>
        </w:rPr>
        <w:t xml:space="preserve">standardite ja regulatsioonide </w:t>
      </w:r>
      <w:r w:rsidR="006D3F07">
        <w:rPr>
          <w:sz w:val="22"/>
          <w:szCs w:val="22"/>
        </w:rPr>
        <w:t>süsteem</w:t>
      </w:r>
      <w:r w:rsidR="00224B05">
        <w:rPr>
          <w:sz w:val="22"/>
          <w:szCs w:val="22"/>
        </w:rPr>
        <w:t xml:space="preserve"> (sh </w:t>
      </w:r>
      <w:r w:rsidR="006D3F07">
        <w:rPr>
          <w:sz w:val="22"/>
          <w:szCs w:val="22"/>
        </w:rPr>
        <w:t>jää</w:t>
      </w:r>
      <w:r w:rsidR="008F0915">
        <w:rPr>
          <w:sz w:val="22"/>
          <w:szCs w:val="22"/>
        </w:rPr>
        <w:t xml:space="preserve">kmaterjalide ringset kasutamist toetav </w:t>
      </w:r>
      <w:r w:rsidR="00224B05">
        <w:rPr>
          <w:sz w:val="22"/>
          <w:szCs w:val="22"/>
        </w:rPr>
        <w:t xml:space="preserve">jäätmete lakkamise õiguslik </w:t>
      </w:r>
      <w:r w:rsidR="006D3F07">
        <w:rPr>
          <w:sz w:val="22"/>
          <w:szCs w:val="22"/>
        </w:rPr>
        <w:t>režiim</w:t>
      </w:r>
      <w:r w:rsidR="00224B05">
        <w:rPr>
          <w:sz w:val="22"/>
          <w:szCs w:val="22"/>
        </w:rPr>
        <w:t>)</w:t>
      </w:r>
      <w:r w:rsidR="006D3F07">
        <w:rPr>
          <w:sz w:val="22"/>
          <w:szCs w:val="22"/>
        </w:rPr>
        <w:t>.</w:t>
      </w:r>
      <w:r w:rsidR="008F0915">
        <w:rPr>
          <w:sz w:val="22"/>
          <w:szCs w:val="22"/>
        </w:rPr>
        <w:t xml:space="preserve"> </w:t>
      </w:r>
      <w:r w:rsidR="00B64D73">
        <w:rPr>
          <w:sz w:val="22"/>
          <w:szCs w:val="22"/>
        </w:rPr>
        <w:t xml:space="preserve">Ka siin saab tegevused siduda </w:t>
      </w:r>
      <w:r w:rsidR="00F54FA2">
        <w:rPr>
          <w:sz w:val="22"/>
          <w:szCs w:val="22"/>
        </w:rPr>
        <w:t>osaks riiklikest ringsete tööstuslahenduste arendusprogrammidest.</w:t>
      </w:r>
      <w:r w:rsidR="00120503">
        <w:rPr>
          <w:sz w:val="22"/>
          <w:szCs w:val="22"/>
        </w:rPr>
        <w:t xml:space="preserve"> </w:t>
      </w:r>
    </w:p>
    <w:p w14:paraId="487A0899" w14:textId="315E0E62" w:rsidR="00323A92" w:rsidRPr="00323A92" w:rsidRDefault="00323A92" w:rsidP="00323A92">
      <w:pPr>
        <w:spacing w:after="120"/>
        <w:jc w:val="both"/>
        <w:rPr>
          <w:b/>
          <w:bCs/>
          <w:sz w:val="22"/>
          <w:szCs w:val="22"/>
        </w:rPr>
      </w:pPr>
      <w:r w:rsidRPr="00323A92">
        <w:rPr>
          <w:b/>
          <w:bCs/>
          <w:sz w:val="22"/>
          <w:szCs w:val="22"/>
        </w:rPr>
        <w:t>Riik peab näitama eeskuju ringsete toodete ja teenuste tarbijana</w:t>
      </w:r>
    </w:p>
    <w:p w14:paraId="2B264C1E" w14:textId="5FE788F2" w:rsidR="00D13AE6" w:rsidRDefault="00323A92" w:rsidP="00D13AE6">
      <w:pPr>
        <w:spacing w:after="120"/>
        <w:jc w:val="both"/>
        <w:rPr>
          <w:sz w:val="22"/>
          <w:szCs w:val="22"/>
        </w:rPr>
      </w:pPr>
      <w:r w:rsidRPr="00323A92">
        <w:rPr>
          <w:sz w:val="22"/>
          <w:szCs w:val="22"/>
        </w:rPr>
        <w:t xml:space="preserve">Peale ettevõtete ja tarbijate valmisoleku mängib ringmajanduse põhimõtete laiemal rakendamisel olulist rolli </w:t>
      </w:r>
      <w:r>
        <w:rPr>
          <w:sz w:val="22"/>
          <w:szCs w:val="22"/>
        </w:rPr>
        <w:t>avalik sektor</w:t>
      </w:r>
      <w:r w:rsidRPr="00323A92">
        <w:rPr>
          <w:sz w:val="22"/>
          <w:szCs w:val="22"/>
        </w:rPr>
        <w:t xml:space="preserve">, kes saab ja ka peab olema ise eeskujuks ringsete toodete ja teenuste ostjana. </w:t>
      </w:r>
      <w:r w:rsidR="00F64591" w:rsidRPr="00323A92">
        <w:rPr>
          <w:sz w:val="22"/>
          <w:szCs w:val="22"/>
        </w:rPr>
        <w:t>Keskkonnahoidlikud ja ringsed riigihanked on kiire ja mõjus vahend ringmajandusele tee rajamiseks, tekitades turul nõudluse ringmajanduse printsiipe järgivate ettevõtete toodangule</w:t>
      </w:r>
      <w:r w:rsidR="00D13AE6">
        <w:rPr>
          <w:sz w:val="22"/>
          <w:szCs w:val="22"/>
        </w:rPr>
        <w:t xml:space="preserve">. </w:t>
      </w:r>
      <w:r w:rsidR="00D13AE6" w:rsidRPr="0005497F">
        <w:rPr>
          <w:sz w:val="22"/>
          <w:szCs w:val="22"/>
        </w:rPr>
        <w:t xml:space="preserve">See kehtib ka ressursimahukate avaliku sektori projektide </w:t>
      </w:r>
      <w:r w:rsidR="00A52F78">
        <w:rPr>
          <w:sz w:val="22"/>
          <w:szCs w:val="22"/>
        </w:rPr>
        <w:t>kohta</w:t>
      </w:r>
      <w:r w:rsidR="00D13AE6" w:rsidRPr="0005497F">
        <w:rPr>
          <w:sz w:val="22"/>
          <w:szCs w:val="22"/>
        </w:rPr>
        <w:t>, kus on väga suur võime tekitada teatud suurtele materjalivoogudele/jäätmetele (nt põlevkivisektoori jäätmed) selge nõudlus ja turg</w:t>
      </w:r>
      <w:r w:rsidR="007A3A0B">
        <w:rPr>
          <w:sz w:val="22"/>
          <w:szCs w:val="22"/>
        </w:rPr>
        <w:t>.</w:t>
      </w:r>
    </w:p>
    <w:p w14:paraId="735A8C89" w14:textId="26277F57" w:rsidR="00323A92" w:rsidRDefault="00323A92" w:rsidP="00323A92">
      <w:pPr>
        <w:spacing w:after="120"/>
        <w:jc w:val="both"/>
        <w:rPr>
          <w:sz w:val="22"/>
          <w:szCs w:val="22"/>
        </w:rPr>
      </w:pPr>
      <w:r w:rsidRPr="00323A92">
        <w:rPr>
          <w:sz w:val="22"/>
          <w:szCs w:val="22"/>
        </w:rPr>
        <w:t>Eesti on üks väheseid EL</w:t>
      </w:r>
      <w:r w:rsidR="002D27FB">
        <w:rPr>
          <w:sz w:val="22"/>
          <w:szCs w:val="22"/>
        </w:rPr>
        <w:t>-i</w:t>
      </w:r>
      <w:r w:rsidRPr="00323A92">
        <w:rPr>
          <w:sz w:val="22"/>
          <w:szCs w:val="22"/>
        </w:rPr>
        <w:t xml:space="preserve"> liikme</w:t>
      </w:r>
      <w:r w:rsidR="002D27FB">
        <w:rPr>
          <w:sz w:val="22"/>
          <w:szCs w:val="22"/>
        </w:rPr>
        <w:t>s</w:t>
      </w:r>
      <w:r w:rsidRPr="00323A92">
        <w:rPr>
          <w:sz w:val="22"/>
          <w:szCs w:val="22"/>
        </w:rPr>
        <w:t xml:space="preserve">riike, kus puudub </w:t>
      </w:r>
      <w:r>
        <w:rPr>
          <w:sz w:val="22"/>
          <w:szCs w:val="22"/>
        </w:rPr>
        <w:t xml:space="preserve">riiklikul tasandil </w:t>
      </w:r>
      <w:r w:rsidRPr="00323A92">
        <w:rPr>
          <w:sz w:val="22"/>
          <w:szCs w:val="22"/>
        </w:rPr>
        <w:t>keskkonnahoidlike riigihangete edendamise strateegia ja eesmärgid. Seega on viimane aeg riiklikul tasemel kehtestada keskkonnahoidlike ja ringsete riigihangete rakendamiseks konkreetsed eesmärgid ning teha keskkonna(ringsete</w:t>
      </w:r>
      <w:r w:rsidR="008C4DE9">
        <w:rPr>
          <w:sz w:val="22"/>
          <w:szCs w:val="22"/>
        </w:rPr>
        <w:t>-</w:t>
      </w:r>
      <w:r w:rsidRPr="00323A92">
        <w:rPr>
          <w:sz w:val="22"/>
          <w:szCs w:val="22"/>
        </w:rPr>
        <w:t>)kriteeriumite kasutamine kohustuslikuks avaliku sektori hangetes.</w:t>
      </w:r>
      <w:r>
        <w:rPr>
          <w:sz w:val="22"/>
          <w:szCs w:val="22"/>
        </w:rPr>
        <w:t xml:space="preserve"> </w:t>
      </w:r>
      <w:r w:rsidR="00AF4378">
        <w:rPr>
          <w:sz w:val="22"/>
          <w:szCs w:val="22"/>
        </w:rPr>
        <w:t>Suurte tööstuslike mate</w:t>
      </w:r>
      <w:r w:rsidR="00AC6F80">
        <w:rPr>
          <w:sz w:val="22"/>
          <w:szCs w:val="22"/>
        </w:rPr>
        <w:t>r</w:t>
      </w:r>
      <w:r w:rsidR="00AF4378">
        <w:rPr>
          <w:sz w:val="22"/>
          <w:szCs w:val="22"/>
        </w:rPr>
        <w:t xml:space="preserve">jalivoogude kasutamine ringhangetes eeldab ka </w:t>
      </w:r>
      <w:r w:rsidR="00AC6F80">
        <w:rPr>
          <w:sz w:val="22"/>
          <w:szCs w:val="22"/>
        </w:rPr>
        <w:t>nende materjalide ringset kasutamist toetavate standardite ja õigusliku raamistiku väljatöötamist (vt ka eelmine punkt)</w:t>
      </w:r>
      <w:r w:rsidR="00831B42">
        <w:rPr>
          <w:sz w:val="22"/>
          <w:szCs w:val="22"/>
        </w:rPr>
        <w:t>.</w:t>
      </w:r>
    </w:p>
    <w:p w14:paraId="29449C3D" w14:textId="7749D7A6" w:rsidR="0087684A" w:rsidRDefault="003508A5" w:rsidP="00323A92">
      <w:pPr>
        <w:spacing w:after="120"/>
        <w:jc w:val="both"/>
        <w:rPr>
          <w:b/>
          <w:bCs/>
          <w:sz w:val="22"/>
          <w:szCs w:val="22"/>
        </w:rPr>
      </w:pPr>
      <w:r>
        <w:rPr>
          <w:b/>
          <w:bCs/>
          <w:sz w:val="22"/>
          <w:szCs w:val="22"/>
        </w:rPr>
        <w:t>Riigi ja ettevõtete koostöö</w:t>
      </w:r>
      <w:r w:rsidR="0087684A" w:rsidRPr="0087684A">
        <w:rPr>
          <w:b/>
          <w:bCs/>
          <w:sz w:val="22"/>
          <w:szCs w:val="22"/>
        </w:rPr>
        <w:t xml:space="preserve"> edendamine</w:t>
      </w:r>
    </w:p>
    <w:p w14:paraId="71D4DC31" w14:textId="74C7F0B9" w:rsidR="00402D68" w:rsidRDefault="00402D68" w:rsidP="00402D68">
      <w:pPr>
        <w:spacing w:after="120"/>
        <w:jc w:val="both"/>
        <w:rPr>
          <w:sz w:val="22"/>
          <w:szCs w:val="22"/>
        </w:rPr>
      </w:pPr>
      <w:r>
        <w:rPr>
          <w:sz w:val="22"/>
          <w:szCs w:val="22"/>
        </w:rPr>
        <w:t>Edukamate EL</w:t>
      </w:r>
      <w:r w:rsidR="008C4DE9">
        <w:rPr>
          <w:sz w:val="22"/>
          <w:szCs w:val="22"/>
        </w:rPr>
        <w:t>-i</w:t>
      </w:r>
      <w:r>
        <w:rPr>
          <w:sz w:val="22"/>
          <w:szCs w:val="22"/>
        </w:rPr>
        <w:t xml:space="preserve"> </w:t>
      </w:r>
      <w:r w:rsidR="008C4DE9">
        <w:rPr>
          <w:sz w:val="22"/>
          <w:szCs w:val="22"/>
        </w:rPr>
        <w:t>liikmes</w:t>
      </w:r>
      <w:r>
        <w:rPr>
          <w:sz w:val="22"/>
          <w:szCs w:val="22"/>
        </w:rPr>
        <w:t>riikide kogemused näitavad, et ringmajanduse põhimõtete edendamisel (sh teavitamine, kogemuste vahetamine, metoodikate ja töövahendite väljatöötamine) saab kõige efektiivsemalt toimida juhul, kui riigis on olemas hea koostöö ettevõte</w:t>
      </w:r>
      <w:r w:rsidR="008B6DE6">
        <w:rPr>
          <w:sz w:val="22"/>
          <w:szCs w:val="22"/>
        </w:rPr>
        <w:t>te</w:t>
      </w:r>
      <w:r>
        <w:rPr>
          <w:sz w:val="22"/>
          <w:szCs w:val="22"/>
        </w:rPr>
        <w:t xml:space="preserve"> ja riigi vahel. Siin mängivad olulist rolli ettevõtete poolt loodud ringmajanduse koostöö- ja teabeplatvormid, mis ettevõtete initsiatiivi ringmajanduse arendamisel realiseerivad</w:t>
      </w:r>
      <w:r w:rsidR="008B6DE6">
        <w:rPr>
          <w:sz w:val="22"/>
          <w:szCs w:val="22"/>
        </w:rPr>
        <w:t>,</w:t>
      </w:r>
      <w:r>
        <w:rPr>
          <w:sz w:val="22"/>
          <w:szCs w:val="22"/>
        </w:rPr>
        <w:t xml:space="preserve"> olles samas koostööpartneriks ka riigile.</w:t>
      </w:r>
    </w:p>
    <w:p w14:paraId="65AF026E" w14:textId="60E7ECD8" w:rsidR="00402D68" w:rsidRDefault="00402D68" w:rsidP="00402D68">
      <w:pPr>
        <w:spacing w:after="120"/>
        <w:jc w:val="both"/>
        <w:rPr>
          <w:sz w:val="22"/>
          <w:szCs w:val="22"/>
        </w:rPr>
      </w:pPr>
      <w:r>
        <w:rPr>
          <w:sz w:val="22"/>
          <w:szCs w:val="22"/>
        </w:rPr>
        <w:t>Eesti Keskkonnajuhtimise Assotsiatsioon on ellu kutsunud ringmajanduse foorumi</w:t>
      </w:r>
      <w:r w:rsidR="00E53255">
        <w:rPr>
          <w:sz w:val="22"/>
          <w:szCs w:val="22"/>
        </w:rPr>
        <w:t xml:space="preserve"> (</w:t>
      </w:r>
      <w:hyperlink r:id="rId11" w:history="1">
        <w:r w:rsidR="00E53255" w:rsidRPr="00507883">
          <w:rPr>
            <w:rStyle w:val="Hyperlink"/>
            <w:sz w:val="22"/>
            <w:szCs w:val="22"/>
          </w:rPr>
          <w:t>https://ekja.ee/et/mis-on-ringmajandus/ringmajanduse-foorum-2-2/</w:t>
        </w:r>
      </w:hyperlink>
      <w:r w:rsidR="00E53255">
        <w:rPr>
          <w:sz w:val="22"/>
          <w:szCs w:val="22"/>
        </w:rPr>
        <w:t>)</w:t>
      </w:r>
      <w:r>
        <w:rPr>
          <w:sz w:val="22"/>
          <w:szCs w:val="22"/>
        </w:rPr>
        <w:t xml:space="preserve">, mille eesmärgiks </w:t>
      </w:r>
      <w:r w:rsidR="00710949">
        <w:rPr>
          <w:sz w:val="22"/>
          <w:szCs w:val="22"/>
        </w:rPr>
        <w:t xml:space="preserve">on </w:t>
      </w:r>
      <w:r w:rsidR="00374389" w:rsidRPr="00374389">
        <w:rPr>
          <w:sz w:val="22"/>
          <w:szCs w:val="22"/>
        </w:rPr>
        <w:t>tõsta ettevõtete teadlikkust ringmajandusest ja toetada üleminekut ringmajanduse majandusmudelite üha laialdasemale rakendamisele.</w:t>
      </w:r>
      <w:r w:rsidR="00F85EC1">
        <w:rPr>
          <w:sz w:val="22"/>
          <w:szCs w:val="22"/>
        </w:rPr>
        <w:t xml:space="preserve"> EKJA on valmis panustama ka </w:t>
      </w:r>
      <w:r w:rsidR="00DE045B">
        <w:rPr>
          <w:sz w:val="22"/>
          <w:szCs w:val="22"/>
        </w:rPr>
        <w:t>eeltoodud ringmajanduse eeldus</w:t>
      </w:r>
      <w:r w:rsidR="009459F4">
        <w:rPr>
          <w:sz w:val="22"/>
          <w:szCs w:val="22"/>
        </w:rPr>
        <w:t>te</w:t>
      </w:r>
      <w:r w:rsidR="003F4A36">
        <w:rPr>
          <w:sz w:val="22"/>
          <w:szCs w:val="22"/>
        </w:rPr>
        <w:t xml:space="preserve"> </w:t>
      </w:r>
      <w:r w:rsidR="00DE045B">
        <w:rPr>
          <w:sz w:val="22"/>
          <w:szCs w:val="22"/>
        </w:rPr>
        <w:t>arendamis</w:t>
      </w:r>
      <w:r w:rsidR="00710949">
        <w:rPr>
          <w:sz w:val="22"/>
          <w:szCs w:val="22"/>
        </w:rPr>
        <w:t>se</w:t>
      </w:r>
      <w:r w:rsidR="00916E1B">
        <w:rPr>
          <w:sz w:val="22"/>
          <w:szCs w:val="22"/>
        </w:rPr>
        <w:t xml:space="preserve"> ja</w:t>
      </w:r>
      <w:r w:rsidR="00FF2E90">
        <w:rPr>
          <w:sz w:val="22"/>
          <w:szCs w:val="22"/>
        </w:rPr>
        <w:t xml:space="preserve"> elluviimisesse</w:t>
      </w:r>
      <w:r w:rsidR="00DE045B">
        <w:rPr>
          <w:sz w:val="22"/>
          <w:szCs w:val="22"/>
        </w:rPr>
        <w:t xml:space="preserve"> </w:t>
      </w:r>
      <w:r w:rsidR="003F4A36">
        <w:rPr>
          <w:sz w:val="22"/>
          <w:szCs w:val="22"/>
        </w:rPr>
        <w:t>olles partneriks nii riigile kui ka teistele osapooltele.</w:t>
      </w:r>
    </w:p>
    <w:p w14:paraId="02BEEE9E" w14:textId="77777777" w:rsidR="00402D68" w:rsidRPr="003508A5" w:rsidRDefault="00402D68" w:rsidP="0087684A">
      <w:pPr>
        <w:spacing w:after="120"/>
        <w:jc w:val="both"/>
        <w:rPr>
          <w:sz w:val="22"/>
          <w:szCs w:val="22"/>
        </w:rPr>
      </w:pPr>
    </w:p>
    <w:sectPr w:rsidR="00402D68" w:rsidRPr="003508A5" w:rsidSect="001A7873">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78A2E" w14:textId="77777777" w:rsidR="00F33C9D" w:rsidRDefault="00F33C9D" w:rsidP="00ED2012">
      <w:r>
        <w:separator/>
      </w:r>
    </w:p>
  </w:endnote>
  <w:endnote w:type="continuationSeparator" w:id="0">
    <w:p w14:paraId="0E3C36F7" w14:textId="77777777" w:rsidR="00F33C9D" w:rsidRDefault="00F33C9D" w:rsidP="00ED2012">
      <w:r>
        <w:continuationSeparator/>
      </w:r>
    </w:p>
  </w:endnote>
  <w:endnote w:type="continuationNotice" w:id="1">
    <w:p w14:paraId="47367227" w14:textId="77777777" w:rsidR="00F33C9D" w:rsidRDefault="00F33C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076777"/>
      <w:docPartObj>
        <w:docPartGallery w:val="Page Numbers (Bottom of Page)"/>
        <w:docPartUnique/>
      </w:docPartObj>
    </w:sdtPr>
    <w:sdtEndPr/>
    <w:sdtContent>
      <w:p w14:paraId="199EB616" w14:textId="64AC2BCA" w:rsidR="00B14927" w:rsidRDefault="00B14927">
        <w:pPr>
          <w:pStyle w:val="Footer"/>
          <w:jc w:val="center"/>
        </w:pPr>
        <w:r>
          <w:fldChar w:fldCharType="begin"/>
        </w:r>
        <w:r>
          <w:instrText>PAGE   \* MERGEFORMAT</w:instrText>
        </w:r>
        <w:r>
          <w:fldChar w:fldCharType="separate"/>
        </w:r>
        <w:r>
          <w:t>2</w:t>
        </w:r>
        <w:r>
          <w:fldChar w:fldCharType="end"/>
        </w:r>
      </w:p>
    </w:sdtContent>
  </w:sdt>
  <w:p w14:paraId="759F1F09" w14:textId="77777777" w:rsidR="00B14927" w:rsidRDefault="00B149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20169" w14:textId="77777777" w:rsidR="00F33C9D" w:rsidRDefault="00F33C9D" w:rsidP="00ED2012">
      <w:r>
        <w:separator/>
      </w:r>
    </w:p>
  </w:footnote>
  <w:footnote w:type="continuationSeparator" w:id="0">
    <w:p w14:paraId="328A36A1" w14:textId="77777777" w:rsidR="00F33C9D" w:rsidRDefault="00F33C9D" w:rsidP="00ED2012">
      <w:r>
        <w:continuationSeparator/>
      </w:r>
    </w:p>
  </w:footnote>
  <w:footnote w:type="continuationNotice" w:id="1">
    <w:p w14:paraId="73C225D2" w14:textId="77777777" w:rsidR="00F33C9D" w:rsidRDefault="00F33C9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F7064"/>
    <w:multiLevelType w:val="hybridMultilevel"/>
    <w:tmpl w:val="982A01F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1FB64177"/>
    <w:multiLevelType w:val="multilevel"/>
    <w:tmpl w:val="6B5051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F5837C6"/>
    <w:multiLevelType w:val="hybridMultilevel"/>
    <w:tmpl w:val="AFDE66B0"/>
    <w:lvl w:ilvl="0" w:tplc="F22ACB38">
      <w:start w:val="1"/>
      <w:numFmt w:val="bullet"/>
      <w:lvlText w:val="•"/>
      <w:lvlJc w:val="left"/>
      <w:pPr>
        <w:tabs>
          <w:tab w:val="num" w:pos="720"/>
        </w:tabs>
        <w:ind w:left="720" w:hanging="360"/>
      </w:pPr>
      <w:rPr>
        <w:rFonts w:ascii="Times New Roman" w:hAnsi="Times New Roman" w:hint="default"/>
      </w:rPr>
    </w:lvl>
    <w:lvl w:ilvl="1" w:tplc="DFF0A358" w:tentative="1">
      <w:start w:val="1"/>
      <w:numFmt w:val="bullet"/>
      <w:lvlText w:val="•"/>
      <w:lvlJc w:val="left"/>
      <w:pPr>
        <w:tabs>
          <w:tab w:val="num" w:pos="1440"/>
        </w:tabs>
        <w:ind w:left="1440" w:hanging="360"/>
      </w:pPr>
      <w:rPr>
        <w:rFonts w:ascii="Times New Roman" w:hAnsi="Times New Roman" w:hint="default"/>
      </w:rPr>
    </w:lvl>
    <w:lvl w:ilvl="2" w:tplc="EAF2028A" w:tentative="1">
      <w:start w:val="1"/>
      <w:numFmt w:val="bullet"/>
      <w:lvlText w:val="•"/>
      <w:lvlJc w:val="left"/>
      <w:pPr>
        <w:tabs>
          <w:tab w:val="num" w:pos="2160"/>
        </w:tabs>
        <w:ind w:left="2160" w:hanging="360"/>
      </w:pPr>
      <w:rPr>
        <w:rFonts w:ascii="Times New Roman" w:hAnsi="Times New Roman" w:hint="default"/>
      </w:rPr>
    </w:lvl>
    <w:lvl w:ilvl="3" w:tplc="BA4207BA" w:tentative="1">
      <w:start w:val="1"/>
      <w:numFmt w:val="bullet"/>
      <w:lvlText w:val="•"/>
      <w:lvlJc w:val="left"/>
      <w:pPr>
        <w:tabs>
          <w:tab w:val="num" w:pos="2880"/>
        </w:tabs>
        <w:ind w:left="2880" w:hanging="360"/>
      </w:pPr>
      <w:rPr>
        <w:rFonts w:ascii="Times New Roman" w:hAnsi="Times New Roman" w:hint="default"/>
      </w:rPr>
    </w:lvl>
    <w:lvl w:ilvl="4" w:tplc="BFD00C16" w:tentative="1">
      <w:start w:val="1"/>
      <w:numFmt w:val="bullet"/>
      <w:lvlText w:val="•"/>
      <w:lvlJc w:val="left"/>
      <w:pPr>
        <w:tabs>
          <w:tab w:val="num" w:pos="3600"/>
        </w:tabs>
        <w:ind w:left="3600" w:hanging="360"/>
      </w:pPr>
      <w:rPr>
        <w:rFonts w:ascii="Times New Roman" w:hAnsi="Times New Roman" w:hint="default"/>
      </w:rPr>
    </w:lvl>
    <w:lvl w:ilvl="5" w:tplc="1C86BC88" w:tentative="1">
      <w:start w:val="1"/>
      <w:numFmt w:val="bullet"/>
      <w:lvlText w:val="•"/>
      <w:lvlJc w:val="left"/>
      <w:pPr>
        <w:tabs>
          <w:tab w:val="num" w:pos="4320"/>
        </w:tabs>
        <w:ind w:left="4320" w:hanging="360"/>
      </w:pPr>
      <w:rPr>
        <w:rFonts w:ascii="Times New Roman" w:hAnsi="Times New Roman" w:hint="default"/>
      </w:rPr>
    </w:lvl>
    <w:lvl w:ilvl="6" w:tplc="2F787BC4" w:tentative="1">
      <w:start w:val="1"/>
      <w:numFmt w:val="bullet"/>
      <w:lvlText w:val="•"/>
      <w:lvlJc w:val="left"/>
      <w:pPr>
        <w:tabs>
          <w:tab w:val="num" w:pos="5040"/>
        </w:tabs>
        <w:ind w:left="5040" w:hanging="360"/>
      </w:pPr>
      <w:rPr>
        <w:rFonts w:ascii="Times New Roman" w:hAnsi="Times New Roman" w:hint="default"/>
      </w:rPr>
    </w:lvl>
    <w:lvl w:ilvl="7" w:tplc="75E68B30" w:tentative="1">
      <w:start w:val="1"/>
      <w:numFmt w:val="bullet"/>
      <w:lvlText w:val="•"/>
      <w:lvlJc w:val="left"/>
      <w:pPr>
        <w:tabs>
          <w:tab w:val="num" w:pos="5760"/>
        </w:tabs>
        <w:ind w:left="5760" w:hanging="360"/>
      </w:pPr>
      <w:rPr>
        <w:rFonts w:ascii="Times New Roman" w:hAnsi="Times New Roman" w:hint="default"/>
      </w:rPr>
    </w:lvl>
    <w:lvl w:ilvl="8" w:tplc="22FECBA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731C48AF"/>
    <w:multiLevelType w:val="hybridMultilevel"/>
    <w:tmpl w:val="873A258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7A1A1CC2"/>
    <w:multiLevelType w:val="hybridMultilevel"/>
    <w:tmpl w:val="8BB890D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7EB24E93"/>
    <w:multiLevelType w:val="hybridMultilevel"/>
    <w:tmpl w:val="340AB0E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0NLa0sDQwMrEwNjdX0lEKTi0uzszPAykwrAUAB8KjWywAAAA="/>
  </w:docVars>
  <w:rsids>
    <w:rsidRoot w:val="00E306C9"/>
    <w:rsid w:val="000109F7"/>
    <w:rsid w:val="00023F58"/>
    <w:rsid w:val="00026958"/>
    <w:rsid w:val="000479F3"/>
    <w:rsid w:val="00047E94"/>
    <w:rsid w:val="0005497F"/>
    <w:rsid w:val="00060E84"/>
    <w:rsid w:val="000714F5"/>
    <w:rsid w:val="00075DD1"/>
    <w:rsid w:val="00095038"/>
    <w:rsid w:val="000972EA"/>
    <w:rsid w:val="000A4137"/>
    <w:rsid w:val="000C6A48"/>
    <w:rsid w:val="000C719A"/>
    <w:rsid w:val="000D572C"/>
    <w:rsid w:val="000D73C9"/>
    <w:rsid w:val="000E5D5F"/>
    <w:rsid w:val="000F4056"/>
    <w:rsid w:val="00104CF3"/>
    <w:rsid w:val="0012043F"/>
    <w:rsid w:val="00120503"/>
    <w:rsid w:val="0012410E"/>
    <w:rsid w:val="00132E8D"/>
    <w:rsid w:val="00143E51"/>
    <w:rsid w:val="00144F5E"/>
    <w:rsid w:val="001461BE"/>
    <w:rsid w:val="00150ACD"/>
    <w:rsid w:val="00164CA5"/>
    <w:rsid w:val="00167EB2"/>
    <w:rsid w:val="00186BE2"/>
    <w:rsid w:val="001959B2"/>
    <w:rsid w:val="001A7873"/>
    <w:rsid w:val="001B0457"/>
    <w:rsid w:val="001B693A"/>
    <w:rsid w:val="001C3B90"/>
    <w:rsid w:val="001C61DE"/>
    <w:rsid w:val="001D65B3"/>
    <w:rsid w:val="001E7505"/>
    <w:rsid w:val="001E7CB6"/>
    <w:rsid w:val="00212535"/>
    <w:rsid w:val="00224B05"/>
    <w:rsid w:val="00230896"/>
    <w:rsid w:val="00232310"/>
    <w:rsid w:val="00235644"/>
    <w:rsid w:val="00242093"/>
    <w:rsid w:val="00245DE2"/>
    <w:rsid w:val="00280391"/>
    <w:rsid w:val="00280D1C"/>
    <w:rsid w:val="00280DDC"/>
    <w:rsid w:val="00281D19"/>
    <w:rsid w:val="00290C23"/>
    <w:rsid w:val="00290E55"/>
    <w:rsid w:val="00290EAC"/>
    <w:rsid w:val="002955D3"/>
    <w:rsid w:val="00297152"/>
    <w:rsid w:val="002A15C4"/>
    <w:rsid w:val="002A5CE5"/>
    <w:rsid w:val="002B11AD"/>
    <w:rsid w:val="002D0313"/>
    <w:rsid w:val="002D27FB"/>
    <w:rsid w:val="002D5ADC"/>
    <w:rsid w:val="002D7A03"/>
    <w:rsid w:val="00317B7B"/>
    <w:rsid w:val="00323A92"/>
    <w:rsid w:val="00326209"/>
    <w:rsid w:val="00327B38"/>
    <w:rsid w:val="00333566"/>
    <w:rsid w:val="00342B2A"/>
    <w:rsid w:val="00350399"/>
    <w:rsid w:val="003508A5"/>
    <w:rsid w:val="00352930"/>
    <w:rsid w:val="00356441"/>
    <w:rsid w:val="00363511"/>
    <w:rsid w:val="00364421"/>
    <w:rsid w:val="003677CC"/>
    <w:rsid w:val="00374389"/>
    <w:rsid w:val="0037764A"/>
    <w:rsid w:val="00380D78"/>
    <w:rsid w:val="00392279"/>
    <w:rsid w:val="00394026"/>
    <w:rsid w:val="003942A5"/>
    <w:rsid w:val="003A06A3"/>
    <w:rsid w:val="003A4008"/>
    <w:rsid w:val="003A713D"/>
    <w:rsid w:val="003B1FCF"/>
    <w:rsid w:val="003C18FC"/>
    <w:rsid w:val="003E6314"/>
    <w:rsid w:val="003F21B9"/>
    <w:rsid w:val="003F4A36"/>
    <w:rsid w:val="003F56BF"/>
    <w:rsid w:val="003F740E"/>
    <w:rsid w:val="00402D68"/>
    <w:rsid w:val="00410DB4"/>
    <w:rsid w:val="00412210"/>
    <w:rsid w:val="00420AE4"/>
    <w:rsid w:val="00423F65"/>
    <w:rsid w:val="00437C97"/>
    <w:rsid w:val="00440302"/>
    <w:rsid w:val="004420C7"/>
    <w:rsid w:val="00445ABE"/>
    <w:rsid w:val="004531B5"/>
    <w:rsid w:val="00454FF5"/>
    <w:rsid w:val="004672AF"/>
    <w:rsid w:val="00467523"/>
    <w:rsid w:val="004721FA"/>
    <w:rsid w:val="0047668B"/>
    <w:rsid w:val="00482AFF"/>
    <w:rsid w:val="00496850"/>
    <w:rsid w:val="004A2CDC"/>
    <w:rsid w:val="004C1531"/>
    <w:rsid w:val="004C294F"/>
    <w:rsid w:val="004C7130"/>
    <w:rsid w:val="004D0318"/>
    <w:rsid w:val="004F332D"/>
    <w:rsid w:val="004F7D9D"/>
    <w:rsid w:val="0051383D"/>
    <w:rsid w:val="00513A0D"/>
    <w:rsid w:val="005155DD"/>
    <w:rsid w:val="00526A97"/>
    <w:rsid w:val="00531A90"/>
    <w:rsid w:val="005332E5"/>
    <w:rsid w:val="00533940"/>
    <w:rsid w:val="00535319"/>
    <w:rsid w:val="005440D3"/>
    <w:rsid w:val="00555354"/>
    <w:rsid w:val="0055591F"/>
    <w:rsid w:val="0056201F"/>
    <w:rsid w:val="00566511"/>
    <w:rsid w:val="00571F68"/>
    <w:rsid w:val="005813D9"/>
    <w:rsid w:val="005B1718"/>
    <w:rsid w:val="005B3223"/>
    <w:rsid w:val="005D02A0"/>
    <w:rsid w:val="005D4B29"/>
    <w:rsid w:val="005E035A"/>
    <w:rsid w:val="005F690A"/>
    <w:rsid w:val="005F73B7"/>
    <w:rsid w:val="005F78CA"/>
    <w:rsid w:val="0061188C"/>
    <w:rsid w:val="0062529A"/>
    <w:rsid w:val="00634AE8"/>
    <w:rsid w:val="00637D17"/>
    <w:rsid w:val="006403C4"/>
    <w:rsid w:val="00665E6F"/>
    <w:rsid w:val="00676212"/>
    <w:rsid w:val="006A1174"/>
    <w:rsid w:val="006A1BBB"/>
    <w:rsid w:val="006A31E3"/>
    <w:rsid w:val="006B1C5F"/>
    <w:rsid w:val="006B57F5"/>
    <w:rsid w:val="006C239A"/>
    <w:rsid w:val="006C3977"/>
    <w:rsid w:val="006C5729"/>
    <w:rsid w:val="006D0EAC"/>
    <w:rsid w:val="006D3F07"/>
    <w:rsid w:val="006E057E"/>
    <w:rsid w:val="00702853"/>
    <w:rsid w:val="00702ABE"/>
    <w:rsid w:val="00707D21"/>
    <w:rsid w:val="00710949"/>
    <w:rsid w:val="007131A8"/>
    <w:rsid w:val="0073471D"/>
    <w:rsid w:val="00737233"/>
    <w:rsid w:val="007535C6"/>
    <w:rsid w:val="00753EAC"/>
    <w:rsid w:val="00761883"/>
    <w:rsid w:val="00762AF5"/>
    <w:rsid w:val="0076379B"/>
    <w:rsid w:val="00767013"/>
    <w:rsid w:val="00775FFC"/>
    <w:rsid w:val="00780494"/>
    <w:rsid w:val="00782EA6"/>
    <w:rsid w:val="0078676C"/>
    <w:rsid w:val="00786CAC"/>
    <w:rsid w:val="00790C02"/>
    <w:rsid w:val="00796EAB"/>
    <w:rsid w:val="00797B10"/>
    <w:rsid w:val="007A3A0B"/>
    <w:rsid w:val="007A7998"/>
    <w:rsid w:val="007B4178"/>
    <w:rsid w:val="007B5AC2"/>
    <w:rsid w:val="007C12E0"/>
    <w:rsid w:val="007C3D88"/>
    <w:rsid w:val="007E105A"/>
    <w:rsid w:val="007E6BD8"/>
    <w:rsid w:val="00822662"/>
    <w:rsid w:val="00831B42"/>
    <w:rsid w:val="00833249"/>
    <w:rsid w:val="00837AF8"/>
    <w:rsid w:val="00841E5B"/>
    <w:rsid w:val="00846DB6"/>
    <w:rsid w:val="00851ADB"/>
    <w:rsid w:val="0086473D"/>
    <w:rsid w:val="008647EB"/>
    <w:rsid w:val="0087684A"/>
    <w:rsid w:val="00890DD6"/>
    <w:rsid w:val="008923B8"/>
    <w:rsid w:val="008B35B3"/>
    <w:rsid w:val="008B6DE6"/>
    <w:rsid w:val="008C4D65"/>
    <w:rsid w:val="008C4DE9"/>
    <w:rsid w:val="008D0716"/>
    <w:rsid w:val="008D4837"/>
    <w:rsid w:val="008E2D11"/>
    <w:rsid w:val="008F0915"/>
    <w:rsid w:val="008F1DBB"/>
    <w:rsid w:val="009054F2"/>
    <w:rsid w:val="00916E1B"/>
    <w:rsid w:val="00927A31"/>
    <w:rsid w:val="0093289D"/>
    <w:rsid w:val="009459F4"/>
    <w:rsid w:val="00985351"/>
    <w:rsid w:val="0099484F"/>
    <w:rsid w:val="009A0E92"/>
    <w:rsid w:val="009A32E4"/>
    <w:rsid w:val="009C286F"/>
    <w:rsid w:val="009C33DD"/>
    <w:rsid w:val="009C61BF"/>
    <w:rsid w:val="009D0F74"/>
    <w:rsid w:val="009D2380"/>
    <w:rsid w:val="009E1B50"/>
    <w:rsid w:val="009E3F4F"/>
    <w:rsid w:val="009E76EE"/>
    <w:rsid w:val="009F6B9E"/>
    <w:rsid w:val="00A1260C"/>
    <w:rsid w:val="00A30695"/>
    <w:rsid w:val="00A3188E"/>
    <w:rsid w:val="00A35780"/>
    <w:rsid w:val="00A520BB"/>
    <w:rsid w:val="00A52F78"/>
    <w:rsid w:val="00A556B3"/>
    <w:rsid w:val="00A5628A"/>
    <w:rsid w:val="00A64030"/>
    <w:rsid w:val="00A6652F"/>
    <w:rsid w:val="00A7614E"/>
    <w:rsid w:val="00A81745"/>
    <w:rsid w:val="00A8583E"/>
    <w:rsid w:val="00A87069"/>
    <w:rsid w:val="00A93074"/>
    <w:rsid w:val="00AA54D1"/>
    <w:rsid w:val="00AA6F3C"/>
    <w:rsid w:val="00AB6310"/>
    <w:rsid w:val="00AC1E6F"/>
    <w:rsid w:val="00AC65A0"/>
    <w:rsid w:val="00AC6A78"/>
    <w:rsid w:val="00AC6F80"/>
    <w:rsid w:val="00AD4DF8"/>
    <w:rsid w:val="00AD7F4E"/>
    <w:rsid w:val="00AE0603"/>
    <w:rsid w:val="00AE36BC"/>
    <w:rsid w:val="00AF4378"/>
    <w:rsid w:val="00AF4A66"/>
    <w:rsid w:val="00B05B00"/>
    <w:rsid w:val="00B14927"/>
    <w:rsid w:val="00B21C5A"/>
    <w:rsid w:val="00B252B1"/>
    <w:rsid w:val="00B33213"/>
    <w:rsid w:val="00B36238"/>
    <w:rsid w:val="00B43235"/>
    <w:rsid w:val="00B44DB9"/>
    <w:rsid w:val="00B46CBF"/>
    <w:rsid w:val="00B60A8C"/>
    <w:rsid w:val="00B635F7"/>
    <w:rsid w:val="00B641C4"/>
    <w:rsid w:val="00B64D73"/>
    <w:rsid w:val="00B72CE8"/>
    <w:rsid w:val="00B75859"/>
    <w:rsid w:val="00BA1AB1"/>
    <w:rsid w:val="00BA1D6C"/>
    <w:rsid w:val="00BD0B2B"/>
    <w:rsid w:val="00BD29C9"/>
    <w:rsid w:val="00BD31D3"/>
    <w:rsid w:val="00BF0726"/>
    <w:rsid w:val="00BF16DC"/>
    <w:rsid w:val="00BF1A53"/>
    <w:rsid w:val="00BF2A80"/>
    <w:rsid w:val="00C00B50"/>
    <w:rsid w:val="00C03071"/>
    <w:rsid w:val="00C0753F"/>
    <w:rsid w:val="00C20C0E"/>
    <w:rsid w:val="00C26423"/>
    <w:rsid w:val="00C36AEF"/>
    <w:rsid w:val="00C45DF7"/>
    <w:rsid w:val="00C5152D"/>
    <w:rsid w:val="00C5432F"/>
    <w:rsid w:val="00C54BE7"/>
    <w:rsid w:val="00C66FB8"/>
    <w:rsid w:val="00C7096C"/>
    <w:rsid w:val="00C7655E"/>
    <w:rsid w:val="00C831BF"/>
    <w:rsid w:val="00C862DE"/>
    <w:rsid w:val="00C9050D"/>
    <w:rsid w:val="00CA1D02"/>
    <w:rsid w:val="00CA50EB"/>
    <w:rsid w:val="00CA5BA5"/>
    <w:rsid w:val="00CB1BAB"/>
    <w:rsid w:val="00CB5311"/>
    <w:rsid w:val="00CC139D"/>
    <w:rsid w:val="00CC282C"/>
    <w:rsid w:val="00CD43D4"/>
    <w:rsid w:val="00CE742B"/>
    <w:rsid w:val="00D11FC1"/>
    <w:rsid w:val="00D13AE6"/>
    <w:rsid w:val="00D24536"/>
    <w:rsid w:val="00D24E7B"/>
    <w:rsid w:val="00D32D6A"/>
    <w:rsid w:val="00D32E6A"/>
    <w:rsid w:val="00D35A93"/>
    <w:rsid w:val="00D425BC"/>
    <w:rsid w:val="00D45BE0"/>
    <w:rsid w:val="00D46933"/>
    <w:rsid w:val="00D47B88"/>
    <w:rsid w:val="00D50ECD"/>
    <w:rsid w:val="00D5561C"/>
    <w:rsid w:val="00D55D36"/>
    <w:rsid w:val="00D904A6"/>
    <w:rsid w:val="00D9403A"/>
    <w:rsid w:val="00DA3393"/>
    <w:rsid w:val="00DA3758"/>
    <w:rsid w:val="00DA5357"/>
    <w:rsid w:val="00DA558D"/>
    <w:rsid w:val="00DC3C5E"/>
    <w:rsid w:val="00DC6653"/>
    <w:rsid w:val="00DD11D8"/>
    <w:rsid w:val="00DD242D"/>
    <w:rsid w:val="00DD43AC"/>
    <w:rsid w:val="00DD766D"/>
    <w:rsid w:val="00DE045B"/>
    <w:rsid w:val="00DF0916"/>
    <w:rsid w:val="00DF34DC"/>
    <w:rsid w:val="00E0056C"/>
    <w:rsid w:val="00E0296F"/>
    <w:rsid w:val="00E0564B"/>
    <w:rsid w:val="00E306C9"/>
    <w:rsid w:val="00E309CB"/>
    <w:rsid w:val="00E37FE6"/>
    <w:rsid w:val="00E45194"/>
    <w:rsid w:val="00E46EF5"/>
    <w:rsid w:val="00E52E28"/>
    <w:rsid w:val="00E53255"/>
    <w:rsid w:val="00E551C0"/>
    <w:rsid w:val="00E6331C"/>
    <w:rsid w:val="00E77AB7"/>
    <w:rsid w:val="00E827C8"/>
    <w:rsid w:val="00E857EF"/>
    <w:rsid w:val="00E975D9"/>
    <w:rsid w:val="00E9762E"/>
    <w:rsid w:val="00EA0502"/>
    <w:rsid w:val="00EB4B33"/>
    <w:rsid w:val="00EB5C7C"/>
    <w:rsid w:val="00EC328A"/>
    <w:rsid w:val="00EC37DE"/>
    <w:rsid w:val="00ED1681"/>
    <w:rsid w:val="00ED2012"/>
    <w:rsid w:val="00EE41C1"/>
    <w:rsid w:val="00EF14F0"/>
    <w:rsid w:val="00F04179"/>
    <w:rsid w:val="00F05209"/>
    <w:rsid w:val="00F21343"/>
    <w:rsid w:val="00F33C9D"/>
    <w:rsid w:val="00F40544"/>
    <w:rsid w:val="00F44980"/>
    <w:rsid w:val="00F531F6"/>
    <w:rsid w:val="00F54FA2"/>
    <w:rsid w:val="00F61429"/>
    <w:rsid w:val="00F61BAC"/>
    <w:rsid w:val="00F64591"/>
    <w:rsid w:val="00F647C6"/>
    <w:rsid w:val="00F64886"/>
    <w:rsid w:val="00F649D7"/>
    <w:rsid w:val="00F77226"/>
    <w:rsid w:val="00F8108D"/>
    <w:rsid w:val="00F82B50"/>
    <w:rsid w:val="00F84A21"/>
    <w:rsid w:val="00F85EC1"/>
    <w:rsid w:val="00F86643"/>
    <w:rsid w:val="00F9425B"/>
    <w:rsid w:val="00FA53E7"/>
    <w:rsid w:val="00FA7CCD"/>
    <w:rsid w:val="00FB0FBF"/>
    <w:rsid w:val="00FC19D8"/>
    <w:rsid w:val="00FC2C00"/>
    <w:rsid w:val="00FD1F0C"/>
    <w:rsid w:val="00FD7FA7"/>
    <w:rsid w:val="00FE3B9B"/>
    <w:rsid w:val="00FE5154"/>
    <w:rsid w:val="00FF0AF7"/>
    <w:rsid w:val="00FF2604"/>
    <w:rsid w:val="00FF2E90"/>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5C1C5"/>
  <w15:chartTrackingRefBased/>
  <w15:docId w15:val="{FE978515-B870-4AEE-A0A6-560B857A2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6C9"/>
    <w:pPr>
      <w:spacing w:after="0" w:line="240" w:lineRule="auto"/>
    </w:pPr>
    <w:rPr>
      <w:rFonts w:ascii="Calibri" w:hAnsi="Calibri" w:cs="Calibri"/>
      <w:sz w:val="20"/>
      <w:szCs w:val="20"/>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311"/>
    <w:pPr>
      <w:ind w:left="720"/>
      <w:contextualSpacing/>
    </w:pPr>
  </w:style>
  <w:style w:type="paragraph" w:styleId="FootnoteText">
    <w:name w:val="footnote text"/>
    <w:basedOn w:val="Normal"/>
    <w:link w:val="FootnoteTextChar"/>
    <w:uiPriority w:val="99"/>
    <w:semiHidden/>
    <w:unhideWhenUsed/>
    <w:rsid w:val="00ED2012"/>
  </w:style>
  <w:style w:type="character" w:customStyle="1" w:styleId="FootnoteTextChar">
    <w:name w:val="Footnote Text Char"/>
    <w:basedOn w:val="DefaultParagraphFont"/>
    <w:link w:val="FootnoteText"/>
    <w:uiPriority w:val="99"/>
    <w:semiHidden/>
    <w:rsid w:val="00ED2012"/>
    <w:rPr>
      <w:rFonts w:ascii="Calibri" w:hAnsi="Calibri" w:cs="Calibri"/>
      <w:sz w:val="20"/>
      <w:szCs w:val="20"/>
      <w:lang w:eastAsia="et-EE"/>
    </w:rPr>
  </w:style>
  <w:style w:type="character" w:styleId="FootnoteReference">
    <w:name w:val="footnote reference"/>
    <w:basedOn w:val="DefaultParagraphFont"/>
    <w:uiPriority w:val="99"/>
    <w:semiHidden/>
    <w:unhideWhenUsed/>
    <w:rsid w:val="00ED2012"/>
    <w:rPr>
      <w:vertAlign w:val="superscript"/>
    </w:rPr>
  </w:style>
  <w:style w:type="paragraph" w:customStyle="1" w:styleId="Default">
    <w:name w:val="Default"/>
    <w:rsid w:val="00D32D6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14927"/>
    <w:pPr>
      <w:tabs>
        <w:tab w:val="center" w:pos="4513"/>
        <w:tab w:val="right" w:pos="9026"/>
      </w:tabs>
    </w:pPr>
  </w:style>
  <w:style w:type="character" w:customStyle="1" w:styleId="HeaderChar">
    <w:name w:val="Header Char"/>
    <w:basedOn w:val="DefaultParagraphFont"/>
    <w:link w:val="Header"/>
    <w:uiPriority w:val="99"/>
    <w:rsid w:val="00B14927"/>
    <w:rPr>
      <w:rFonts w:ascii="Calibri" w:hAnsi="Calibri" w:cs="Calibri"/>
      <w:sz w:val="20"/>
      <w:szCs w:val="20"/>
      <w:lang w:eastAsia="et-EE"/>
    </w:rPr>
  </w:style>
  <w:style w:type="paragraph" w:styleId="Footer">
    <w:name w:val="footer"/>
    <w:basedOn w:val="Normal"/>
    <w:link w:val="FooterChar"/>
    <w:uiPriority w:val="99"/>
    <w:unhideWhenUsed/>
    <w:rsid w:val="00B14927"/>
    <w:pPr>
      <w:tabs>
        <w:tab w:val="center" w:pos="4513"/>
        <w:tab w:val="right" w:pos="9026"/>
      </w:tabs>
    </w:pPr>
  </w:style>
  <w:style w:type="character" w:customStyle="1" w:styleId="FooterChar">
    <w:name w:val="Footer Char"/>
    <w:basedOn w:val="DefaultParagraphFont"/>
    <w:link w:val="Footer"/>
    <w:uiPriority w:val="99"/>
    <w:rsid w:val="00B14927"/>
    <w:rPr>
      <w:rFonts w:ascii="Calibri" w:hAnsi="Calibri" w:cs="Calibri"/>
      <w:sz w:val="20"/>
      <w:szCs w:val="20"/>
      <w:lang w:eastAsia="et-EE"/>
    </w:rPr>
  </w:style>
  <w:style w:type="character" w:styleId="CommentReference">
    <w:name w:val="annotation reference"/>
    <w:basedOn w:val="DefaultParagraphFont"/>
    <w:uiPriority w:val="99"/>
    <w:semiHidden/>
    <w:unhideWhenUsed/>
    <w:rsid w:val="006A31E3"/>
    <w:rPr>
      <w:sz w:val="16"/>
      <w:szCs w:val="16"/>
    </w:rPr>
  </w:style>
  <w:style w:type="paragraph" w:styleId="CommentText">
    <w:name w:val="annotation text"/>
    <w:basedOn w:val="Normal"/>
    <w:link w:val="CommentTextChar"/>
    <w:uiPriority w:val="99"/>
    <w:semiHidden/>
    <w:unhideWhenUsed/>
    <w:rsid w:val="006A31E3"/>
  </w:style>
  <w:style w:type="character" w:customStyle="1" w:styleId="CommentTextChar">
    <w:name w:val="Comment Text Char"/>
    <w:basedOn w:val="DefaultParagraphFont"/>
    <w:link w:val="CommentText"/>
    <w:uiPriority w:val="99"/>
    <w:semiHidden/>
    <w:rsid w:val="006A31E3"/>
    <w:rPr>
      <w:rFonts w:ascii="Calibri" w:hAnsi="Calibri" w:cs="Calibri"/>
      <w:sz w:val="20"/>
      <w:szCs w:val="20"/>
      <w:lang w:eastAsia="et-EE"/>
    </w:rPr>
  </w:style>
  <w:style w:type="paragraph" w:styleId="CommentSubject">
    <w:name w:val="annotation subject"/>
    <w:basedOn w:val="CommentText"/>
    <w:next w:val="CommentText"/>
    <w:link w:val="CommentSubjectChar"/>
    <w:uiPriority w:val="99"/>
    <w:semiHidden/>
    <w:unhideWhenUsed/>
    <w:rsid w:val="006A31E3"/>
    <w:rPr>
      <w:b/>
      <w:bCs/>
    </w:rPr>
  </w:style>
  <w:style w:type="character" w:customStyle="1" w:styleId="CommentSubjectChar">
    <w:name w:val="Comment Subject Char"/>
    <w:basedOn w:val="CommentTextChar"/>
    <w:link w:val="CommentSubject"/>
    <w:uiPriority w:val="99"/>
    <w:semiHidden/>
    <w:rsid w:val="006A31E3"/>
    <w:rPr>
      <w:rFonts w:ascii="Calibri" w:hAnsi="Calibri" w:cs="Calibri"/>
      <w:b/>
      <w:bCs/>
      <w:sz w:val="20"/>
      <w:szCs w:val="20"/>
      <w:lang w:eastAsia="et-EE"/>
    </w:rPr>
  </w:style>
  <w:style w:type="paragraph" w:styleId="BalloonText">
    <w:name w:val="Balloon Text"/>
    <w:basedOn w:val="Normal"/>
    <w:link w:val="BalloonTextChar"/>
    <w:uiPriority w:val="99"/>
    <w:semiHidden/>
    <w:unhideWhenUsed/>
    <w:rsid w:val="006A31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1E3"/>
    <w:rPr>
      <w:rFonts w:ascii="Segoe UI" w:hAnsi="Segoe UI" w:cs="Segoe UI"/>
      <w:sz w:val="18"/>
      <w:szCs w:val="18"/>
      <w:lang w:eastAsia="et-EE"/>
    </w:rPr>
  </w:style>
  <w:style w:type="character" w:styleId="Hyperlink">
    <w:name w:val="Hyperlink"/>
    <w:basedOn w:val="DefaultParagraphFont"/>
    <w:uiPriority w:val="99"/>
    <w:unhideWhenUsed/>
    <w:rsid w:val="00E45194"/>
    <w:rPr>
      <w:color w:val="0000FF"/>
      <w:u w:val="single"/>
    </w:rPr>
  </w:style>
  <w:style w:type="character" w:styleId="UnresolvedMention">
    <w:name w:val="Unresolved Mention"/>
    <w:basedOn w:val="DefaultParagraphFont"/>
    <w:uiPriority w:val="99"/>
    <w:semiHidden/>
    <w:unhideWhenUsed/>
    <w:rsid w:val="00E532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072969">
      <w:bodyDiv w:val="1"/>
      <w:marLeft w:val="0"/>
      <w:marRight w:val="0"/>
      <w:marTop w:val="0"/>
      <w:marBottom w:val="0"/>
      <w:divBdr>
        <w:top w:val="none" w:sz="0" w:space="0" w:color="auto"/>
        <w:left w:val="none" w:sz="0" w:space="0" w:color="auto"/>
        <w:bottom w:val="none" w:sz="0" w:space="0" w:color="auto"/>
        <w:right w:val="none" w:sz="0" w:space="0" w:color="auto"/>
      </w:divBdr>
    </w:div>
    <w:div w:id="916474496">
      <w:bodyDiv w:val="1"/>
      <w:marLeft w:val="0"/>
      <w:marRight w:val="0"/>
      <w:marTop w:val="0"/>
      <w:marBottom w:val="0"/>
      <w:divBdr>
        <w:top w:val="none" w:sz="0" w:space="0" w:color="auto"/>
        <w:left w:val="none" w:sz="0" w:space="0" w:color="auto"/>
        <w:bottom w:val="none" w:sz="0" w:space="0" w:color="auto"/>
        <w:right w:val="none" w:sz="0" w:space="0" w:color="auto"/>
      </w:divBdr>
    </w:div>
    <w:div w:id="1462650769">
      <w:bodyDiv w:val="1"/>
      <w:marLeft w:val="0"/>
      <w:marRight w:val="0"/>
      <w:marTop w:val="0"/>
      <w:marBottom w:val="0"/>
      <w:divBdr>
        <w:top w:val="none" w:sz="0" w:space="0" w:color="auto"/>
        <w:left w:val="none" w:sz="0" w:space="0" w:color="auto"/>
        <w:bottom w:val="none" w:sz="0" w:space="0" w:color="auto"/>
        <w:right w:val="none" w:sz="0" w:space="0" w:color="auto"/>
      </w:divBdr>
    </w:div>
    <w:div w:id="1874154758">
      <w:bodyDiv w:val="1"/>
      <w:marLeft w:val="0"/>
      <w:marRight w:val="0"/>
      <w:marTop w:val="0"/>
      <w:marBottom w:val="0"/>
      <w:divBdr>
        <w:top w:val="none" w:sz="0" w:space="0" w:color="auto"/>
        <w:left w:val="none" w:sz="0" w:space="0" w:color="auto"/>
        <w:bottom w:val="none" w:sz="0" w:space="0" w:color="auto"/>
        <w:right w:val="none" w:sz="0" w:space="0" w:color="auto"/>
      </w:divBdr>
      <w:divsChild>
        <w:div w:id="40202909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kja.ee/et/mis-on-ringmajandus/ringmajanduse-foorum-2-2/"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B5836B143DC4489B22C23BC79EF2DD" ma:contentTypeVersion="13" ma:contentTypeDescription="Create a new document." ma:contentTypeScope="" ma:versionID="ca6d892774f9724cfa039f4f4c3c8131">
  <xsd:schema xmlns:xsd="http://www.w3.org/2001/XMLSchema" xmlns:xs="http://www.w3.org/2001/XMLSchema" xmlns:p="http://schemas.microsoft.com/office/2006/metadata/properties" xmlns:ns2="51bd50d0-d8f0-4351-bcc9-bc0089db6ffe" xmlns:ns3="0e000f76-03c3-4a6d-ba20-82435f178b63" targetNamespace="http://schemas.microsoft.com/office/2006/metadata/properties" ma:root="true" ma:fieldsID="d4f2f06678b2a2482ed2c46f2c3cdbc4" ns2:_="" ns3:_="">
    <xsd:import namespace="51bd50d0-d8f0-4351-bcc9-bc0089db6ffe"/>
    <xsd:import namespace="0e000f76-03c3-4a6d-ba20-82435f178b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bd50d0-d8f0-4351-bcc9-bc0089db6f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000f76-03c3-4a6d-ba20-82435f178b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D965C7-9E50-4630-88B3-1668BB849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bd50d0-d8f0-4351-bcc9-bc0089db6ffe"/>
    <ds:schemaRef ds:uri="0e000f76-03c3-4a6d-ba20-82435f178b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63DCC-DD1E-44DC-B481-6D7BDE717AC4}">
  <ds:schemaRefs>
    <ds:schemaRef ds:uri="http://schemas.openxmlformats.org/officeDocument/2006/bibliography"/>
  </ds:schemaRefs>
</ds:datastoreItem>
</file>

<file path=customXml/itemProps3.xml><?xml version="1.0" encoding="utf-8"?>
<ds:datastoreItem xmlns:ds="http://schemas.openxmlformats.org/officeDocument/2006/customXml" ds:itemID="{23AA2DFE-4EF8-4098-AFCB-2DDE081EC0B5}">
  <ds:schemaRefs>
    <ds:schemaRef ds:uri="http://schemas.microsoft.com/sharepoint/v3/contenttype/forms"/>
  </ds:schemaRefs>
</ds:datastoreItem>
</file>

<file path=customXml/itemProps4.xml><?xml version="1.0" encoding="utf-8"?>
<ds:datastoreItem xmlns:ds="http://schemas.openxmlformats.org/officeDocument/2006/customXml" ds:itemID="{D4292E0C-1801-4067-BBB7-B4251E0569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2081</Words>
  <Characters>12070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14123</CharactersWithSpaces>
  <SharedDoc>false</SharedDoc>
  <HLinks>
    <vt:vector size="6" baseType="variant">
      <vt:variant>
        <vt:i4>5636111</vt:i4>
      </vt:variant>
      <vt:variant>
        <vt:i4>0</vt:i4>
      </vt:variant>
      <vt:variant>
        <vt:i4>0</vt:i4>
      </vt:variant>
      <vt:variant>
        <vt:i4>5</vt:i4>
      </vt:variant>
      <vt:variant>
        <vt:lpwstr>https://ekja.ee/et/mis-on-ringmajandus/ringmajanduse-foorum-2-2/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 Moora</dc:creator>
  <cp:keywords/>
  <dc:description/>
  <cp:lastModifiedBy>Jekaterina Iljina</cp:lastModifiedBy>
  <cp:revision>2</cp:revision>
  <dcterms:created xsi:type="dcterms:W3CDTF">2022-02-01T13:17:00Z</dcterms:created>
  <dcterms:modified xsi:type="dcterms:W3CDTF">2022-02-01T13:17:00Z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0x0101009FB5836B143DC4489B22C23BC79EF2DD</vt:lpwstr>
  </property>
</Properties>
</file>